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74DB0" w14:textId="0C569DDD" w:rsidR="00194578" w:rsidRPr="00A573FA" w:rsidRDefault="00194578" w:rsidP="00194578">
      <w:pPr>
        <w:pStyle w:val="NormalWeb"/>
        <w:spacing w:after="135"/>
        <w:rPr>
          <w:rFonts w:ascii="Didot" w:hAnsi="Didot"/>
          <w:b/>
          <w:bCs/>
          <w:color w:val="4472C4" w:themeColor="accent1"/>
          <w:sz w:val="32"/>
          <w:szCs w:val="32"/>
        </w:rPr>
      </w:pPr>
      <w:r w:rsidRPr="00A573FA">
        <w:rPr>
          <w:rFonts w:ascii="Didot" w:hAnsi="Didot"/>
          <w:b/>
          <w:bCs/>
          <w:color w:val="4472C4" w:themeColor="accent1"/>
          <w:sz w:val="32"/>
          <w:szCs w:val="32"/>
        </w:rPr>
        <w:t>About the fi</w:t>
      </w:r>
      <w:r w:rsidR="000E10FE" w:rsidRPr="00A573FA">
        <w:rPr>
          <w:rFonts w:ascii="Didot" w:hAnsi="Didot"/>
          <w:b/>
          <w:bCs/>
          <w:color w:val="4472C4" w:themeColor="accent1"/>
          <w:sz w:val="32"/>
          <w:szCs w:val="32"/>
        </w:rPr>
        <w:t>r</w:t>
      </w:r>
      <w:r w:rsidRPr="00A573FA">
        <w:rPr>
          <w:rFonts w:ascii="Didot" w:hAnsi="Didot"/>
          <w:b/>
          <w:bCs/>
          <w:color w:val="4472C4" w:themeColor="accent1"/>
          <w:sz w:val="32"/>
          <w:szCs w:val="32"/>
        </w:rPr>
        <w:t>m</w:t>
      </w:r>
    </w:p>
    <w:p w14:paraId="0CEBA177" w14:textId="2F24F7BF" w:rsidR="00BC1346" w:rsidRPr="00BC1346" w:rsidRDefault="00BC1346" w:rsidP="00BC1346">
      <w:pPr>
        <w:pStyle w:val="NormalWeb"/>
        <w:rPr>
          <w:rFonts w:asciiTheme="majorHAnsi" w:hAnsiTheme="majorHAnsi" w:cstheme="majorHAnsi"/>
          <w:color w:val="000000"/>
          <w:sz w:val="20"/>
          <w:szCs w:val="20"/>
        </w:rPr>
      </w:pPr>
      <w:r w:rsidRPr="00BC1346">
        <w:rPr>
          <w:rFonts w:asciiTheme="majorHAnsi" w:hAnsiTheme="majorHAnsi" w:cstheme="majorHAnsi"/>
          <w:color w:val="000000"/>
          <w:sz w:val="20"/>
          <w:szCs w:val="20"/>
        </w:rPr>
        <w:t>Anderson Pay Advisors LLC is a boutique management consulting firm focus</w:t>
      </w:r>
      <w:r w:rsidR="006D37B9">
        <w:rPr>
          <w:rFonts w:asciiTheme="majorHAnsi" w:hAnsiTheme="majorHAnsi" w:cstheme="majorHAnsi"/>
          <w:color w:val="000000"/>
          <w:sz w:val="20"/>
          <w:szCs w:val="20"/>
        </w:rPr>
        <w:t>ed</w:t>
      </w:r>
      <w:r w:rsidRPr="00BC1346">
        <w:rPr>
          <w:rFonts w:asciiTheme="majorHAnsi" w:hAnsiTheme="majorHAnsi" w:cstheme="majorHAnsi"/>
          <w:color w:val="000000"/>
          <w:sz w:val="20"/>
          <w:szCs w:val="20"/>
        </w:rPr>
        <w:t xml:space="preserve"> on compensation-related advisory services.  The firm works with companies at all stages of development, from early-stage startups to </w:t>
      </w:r>
      <w:r w:rsidR="00BB2CFA" w:rsidRPr="00BC1346">
        <w:rPr>
          <w:rFonts w:asciiTheme="majorHAnsi" w:hAnsiTheme="majorHAnsi" w:cstheme="majorHAnsi"/>
          <w:color w:val="000000"/>
          <w:sz w:val="20"/>
          <w:szCs w:val="20"/>
        </w:rPr>
        <w:t>well-established</w:t>
      </w:r>
      <w:r w:rsidRPr="00BC1346">
        <w:rPr>
          <w:rFonts w:asciiTheme="majorHAnsi" w:hAnsiTheme="majorHAnsi" w:cstheme="majorHAnsi"/>
          <w:color w:val="000000"/>
          <w:sz w:val="20"/>
          <w:szCs w:val="20"/>
        </w:rPr>
        <w:t xml:space="preserve">, </w:t>
      </w:r>
      <w:r w:rsidR="004D466E" w:rsidRPr="00BC1346">
        <w:rPr>
          <w:rFonts w:asciiTheme="majorHAnsi" w:hAnsiTheme="majorHAnsi" w:cstheme="majorHAnsi"/>
          <w:color w:val="000000"/>
          <w:sz w:val="20"/>
          <w:szCs w:val="20"/>
        </w:rPr>
        <w:t>publicly traded</w:t>
      </w:r>
      <w:r w:rsidRPr="00BC1346">
        <w:rPr>
          <w:rFonts w:asciiTheme="majorHAnsi" w:hAnsiTheme="majorHAnsi" w:cstheme="majorHAnsi"/>
          <w:color w:val="000000"/>
          <w:sz w:val="20"/>
          <w:szCs w:val="20"/>
        </w:rPr>
        <w:t xml:space="preserve"> organizations.  </w:t>
      </w:r>
      <w:r w:rsidR="00CD0E53">
        <w:rPr>
          <w:rFonts w:asciiTheme="majorHAnsi" w:hAnsiTheme="majorHAnsi" w:cstheme="majorHAnsi"/>
          <w:color w:val="000000"/>
          <w:sz w:val="20"/>
          <w:szCs w:val="20"/>
        </w:rPr>
        <w:t>Life</w:t>
      </w:r>
      <w:r w:rsidRPr="00BC1346">
        <w:rPr>
          <w:rFonts w:asciiTheme="majorHAnsi" w:hAnsiTheme="majorHAnsi" w:cstheme="majorHAnsi"/>
          <w:color w:val="000000"/>
          <w:sz w:val="20"/>
          <w:szCs w:val="20"/>
        </w:rPr>
        <w:t xml:space="preserve"> sciences companies</w:t>
      </w:r>
      <w:r w:rsidR="00CD0E53">
        <w:rPr>
          <w:rFonts w:asciiTheme="majorHAnsi" w:hAnsiTheme="majorHAnsi" w:cstheme="majorHAnsi"/>
          <w:color w:val="000000"/>
          <w:sz w:val="20"/>
          <w:szCs w:val="20"/>
        </w:rPr>
        <w:t xml:space="preserve"> are our </w:t>
      </w:r>
      <w:r w:rsidR="002529EB">
        <w:rPr>
          <w:rFonts w:asciiTheme="majorHAnsi" w:hAnsiTheme="majorHAnsi" w:cstheme="majorHAnsi"/>
          <w:color w:val="000000"/>
          <w:sz w:val="20"/>
          <w:szCs w:val="20"/>
        </w:rPr>
        <w:t>primary</w:t>
      </w:r>
      <w:r w:rsidR="00CD0E53">
        <w:rPr>
          <w:rFonts w:asciiTheme="majorHAnsi" w:hAnsiTheme="majorHAnsi" w:cstheme="majorHAnsi"/>
          <w:color w:val="000000"/>
          <w:sz w:val="20"/>
          <w:szCs w:val="20"/>
        </w:rPr>
        <w:t xml:space="preserve"> focus and area </w:t>
      </w:r>
      <w:r w:rsidR="002529EB">
        <w:rPr>
          <w:rFonts w:asciiTheme="majorHAnsi" w:hAnsiTheme="majorHAnsi" w:cstheme="majorHAnsi"/>
          <w:color w:val="000000"/>
          <w:sz w:val="20"/>
          <w:szCs w:val="20"/>
        </w:rPr>
        <w:t xml:space="preserve">of </w:t>
      </w:r>
      <w:r w:rsidR="00CD0E53">
        <w:rPr>
          <w:rFonts w:asciiTheme="majorHAnsi" w:hAnsiTheme="majorHAnsi" w:cstheme="majorHAnsi"/>
          <w:color w:val="000000"/>
          <w:sz w:val="20"/>
          <w:szCs w:val="20"/>
        </w:rPr>
        <w:t>expertise.</w:t>
      </w:r>
      <w:r w:rsidRPr="00BC1346">
        <w:rPr>
          <w:rFonts w:asciiTheme="majorHAnsi" w:hAnsiTheme="majorHAnsi" w:cstheme="majorHAnsi"/>
          <w:color w:val="000000"/>
          <w:sz w:val="20"/>
          <w:szCs w:val="20"/>
        </w:rPr>
        <w:t xml:space="preserve">  </w:t>
      </w:r>
    </w:p>
    <w:p w14:paraId="03821D4D" w14:textId="77777777" w:rsidR="00BC1346" w:rsidRPr="00BC1346" w:rsidRDefault="00BC1346" w:rsidP="00BC1346">
      <w:pPr>
        <w:pStyle w:val="NormalWeb"/>
        <w:rPr>
          <w:rFonts w:asciiTheme="majorHAnsi" w:hAnsiTheme="majorHAnsi" w:cstheme="majorHAnsi"/>
          <w:color w:val="000000"/>
          <w:sz w:val="20"/>
          <w:szCs w:val="20"/>
        </w:rPr>
      </w:pPr>
    </w:p>
    <w:p w14:paraId="469DFB84" w14:textId="60CF15BF" w:rsidR="00BC1346" w:rsidRPr="00BC1346" w:rsidRDefault="00BC1346" w:rsidP="00BC1346">
      <w:pPr>
        <w:pStyle w:val="NormalWeb"/>
        <w:rPr>
          <w:rFonts w:asciiTheme="majorHAnsi" w:hAnsiTheme="majorHAnsi" w:cstheme="majorHAnsi"/>
          <w:color w:val="000000"/>
          <w:sz w:val="20"/>
          <w:szCs w:val="20"/>
        </w:rPr>
      </w:pPr>
      <w:r w:rsidRPr="00BC1346">
        <w:rPr>
          <w:rFonts w:asciiTheme="majorHAnsi" w:hAnsiTheme="majorHAnsi" w:cstheme="majorHAnsi"/>
          <w:color w:val="000000"/>
          <w:sz w:val="20"/>
          <w:szCs w:val="20"/>
        </w:rPr>
        <w:t>Our capabilities include:</w:t>
      </w:r>
    </w:p>
    <w:p w14:paraId="35C6D404" w14:textId="77777777" w:rsidR="00BC1346" w:rsidRPr="00BC1346" w:rsidRDefault="00BC1346" w:rsidP="00BC1346">
      <w:pPr>
        <w:pStyle w:val="NormalWeb"/>
        <w:rPr>
          <w:rFonts w:asciiTheme="majorHAnsi" w:hAnsiTheme="majorHAnsi" w:cstheme="majorHAnsi"/>
          <w:color w:val="000000"/>
          <w:sz w:val="20"/>
          <w:szCs w:val="20"/>
        </w:rPr>
      </w:pPr>
      <w:r w:rsidRPr="00BC1346">
        <w:rPr>
          <w:rFonts w:asciiTheme="majorHAnsi" w:hAnsiTheme="majorHAnsi" w:cstheme="majorHAnsi"/>
          <w:color w:val="000000"/>
          <w:sz w:val="20"/>
          <w:szCs w:val="20"/>
        </w:rPr>
        <w:t>  </w:t>
      </w:r>
    </w:p>
    <w:p w14:paraId="287F163E" w14:textId="77777777" w:rsidR="0032161F" w:rsidRPr="00BC1346" w:rsidRDefault="0032161F" w:rsidP="0032161F">
      <w:pPr>
        <w:pStyle w:val="NormalWeb"/>
        <w:numPr>
          <w:ilvl w:val="0"/>
          <w:numId w:val="6"/>
        </w:numPr>
        <w:rPr>
          <w:rFonts w:asciiTheme="majorHAnsi" w:hAnsiTheme="majorHAnsi" w:cstheme="majorHAnsi"/>
          <w:sz w:val="20"/>
          <w:szCs w:val="20"/>
        </w:rPr>
      </w:pPr>
      <w:proofErr w:type="gramStart"/>
      <w:r>
        <w:rPr>
          <w:rFonts w:asciiTheme="majorHAnsi" w:hAnsiTheme="majorHAnsi" w:cstheme="majorHAnsi"/>
          <w:sz w:val="20"/>
          <w:szCs w:val="20"/>
        </w:rPr>
        <w:t>Director</w:t>
      </w:r>
      <w:proofErr w:type="gramEnd"/>
      <w:r>
        <w:rPr>
          <w:rFonts w:asciiTheme="majorHAnsi" w:hAnsiTheme="majorHAnsi" w:cstheme="majorHAnsi"/>
          <w:sz w:val="20"/>
          <w:szCs w:val="20"/>
        </w:rPr>
        <w:t xml:space="preserve"> compensation</w:t>
      </w:r>
    </w:p>
    <w:p w14:paraId="27C067DC" w14:textId="77777777" w:rsidR="00BC1346" w:rsidRPr="00BC1346" w:rsidRDefault="00BC1346" w:rsidP="00BC1346">
      <w:pPr>
        <w:pStyle w:val="NormalWeb"/>
        <w:numPr>
          <w:ilvl w:val="0"/>
          <w:numId w:val="6"/>
        </w:numPr>
        <w:rPr>
          <w:rFonts w:asciiTheme="majorHAnsi" w:hAnsiTheme="majorHAnsi" w:cstheme="majorHAnsi"/>
          <w:sz w:val="20"/>
          <w:szCs w:val="20"/>
        </w:rPr>
      </w:pPr>
      <w:r w:rsidRPr="00BC1346">
        <w:rPr>
          <w:rFonts w:asciiTheme="majorHAnsi" w:hAnsiTheme="majorHAnsi" w:cstheme="majorHAnsi"/>
          <w:sz w:val="20"/>
          <w:szCs w:val="20"/>
        </w:rPr>
        <w:t>Executive compensation</w:t>
      </w:r>
    </w:p>
    <w:p w14:paraId="5F506048" w14:textId="77777777" w:rsidR="00BC1346" w:rsidRPr="00BC1346" w:rsidRDefault="00BC1346" w:rsidP="00BC1346">
      <w:pPr>
        <w:pStyle w:val="NormalWeb"/>
        <w:numPr>
          <w:ilvl w:val="0"/>
          <w:numId w:val="6"/>
        </w:numPr>
        <w:rPr>
          <w:rFonts w:asciiTheme="majorHAnsi" w:hAnsiTheme="majorHAnsi" w:cstheme="majorHAnsi"/>
          <w:sz w:val="20"/>
          <w:szCs w:val="20"/>
        </w:rPr>
      </w:pPr>
      <w:r w:rsidRPr="00BC1346">
        <w:rPr>
          <w:rFonts w:asciiTheme="majorHAnsi" w:hAnsiTheme="majorHAnsi" w:cstheme="majorHAnsi"/>
          <w:sz w:val="20"/>
          <w:szCs w:val="20"/>
        </w:rPr>
        <w:t>Short-term incentives</w:t>
      </w:r>
    </w:p>
    <w:p w14:paraId="298A9E4C" w14:textId="77777777" w:rsidR="00BC1346" w:rsidRPr="00BC1346" w:rsidRDefault="00BC1346" w:rsidP="00BC1346">
      <w:pPr>
        <w:pStyle w:val="NormalWeb"/>
        <w:numPr>
          <w:ilvl w:val="0"/>
          <w:numId w:val="6"/>
        </w:numPr>
        <w:rPr>
          <w:rFonts w:asciiTheme="majorHAnsi" w:hAnsiTheme="majorHAnsi" w:cstheme="majorHAnsi"/>
          <w:sz w:val="20"/>
          <w:szCs w:val="20"/>
        </w:rPr>
      </w:pPr>
      <w:r w:rsidRPr="00BC1346">
        <w:rPr>
          <w:rFonts w:asciiTheme="majorHAnsi" w:hAnsiTheme="majorHAnsi" w:cstheme="majorHAnsi"/>
          <w:sz w:val="20"/>
          <w:szCs w:val="20"/>
        </w:rPr>
        <w:t xml:space="preserve">Equity and long-term incentives </w:t>
      </w:r>
    </w:p>
    <w:p w14:paraId="45E791EA" w14:textId="77777777" w:rsidR="00BC1346" w:rsidRPr="00BC1346" w:rsidRDefault="00BC1346" w:rsidP="00BC1346">
      <w:pPr>
        <w:pStyle w:val="NormalWeb"/>
        <w:numPr>
          <w:ilvl w:val="0"/>
          <w:numId w:val="6"/>
        </w:numPr>
        <w:rPr>
          <w:rFonts w:asciiTheme="majorHAnsi" w:hAnsiTheme="majorHAnsi" w:cstheme="majorHAnsi"/>
          <w:sz w:val="20"/>
          <w:szCs w:val="20"/>
        </w:rPr>
      </w:pPr>
      <w:r w:rsidRPr="00BC1346">
        <w:rPr>
          <w:rFonts w:asciiTheme="majorHAnsi" w:hAnsiTheme="majorHAnsi" w:cstheme="majorHAnsi"/>
          <w:sz w:val="20"/>
          <w:szCs w:val="20"/>
        </w:rPr>
        <w:t xml:space="preserve">Broad-based employee compensation </w:t>
      </w:r>
    </w:p>
    <w:p w14:paraId="070A56ED" w14:textId="6BC4CB73" w:rsidR="00BC1346" w:rsidRPr="00894E4A" w:rsidRDefault="00BC1346" w:rsidP="00BC1346">
      <w:pPr>
        <w:pStyle w:val="NormalWeb"/>
        <w:numPr>
          <w:ilvl w:val="0"/>
          <w:numId w:val="6"/>
        </w:numPr>
        <w:rPr>
          <w:rFonts w:asciiTheme="majorHAnsi" w:hAnsiTheme="majorHAnsi" w:cstheme="majorHAnsi"/>
          <w:sz w:val="20"/>
          <w:szCs w:val="20"/>
        </w:rPr>
      </w:pPr>
      <w:r w:rsidRPr="00894E4A">
        <w:rPr>
          <w:rFonts w:asciiTheme="majorHAnsi" w:hAnsiTheme="majorHAnsi" w:cstheme="majorHAnsi"/>
          <w:sz w:val="20"/>
          <w:szCs w:val="20"/>
        </w:rPr>
        <w:t xml:space="preserve">Sales </w:t>
      </w:r>
      <w:r w:rsidR="00580DC7">
        <w:rPr>
          <w:rFonts w:asciiTheme="majorHAnsi" w:hAnsiTheme="majorHAnsi" w:cstheme="majorHAnsi"/>
          <w:sz w:val="20"/>
          <w:szCs w:val="20"/>
        </w:rPr>
        <w:t>c</w:t>
      </w:r>
      <w:r w:rsidRPr="00894E4A">
        <w:rPr>
          <w:rFonts w:asciiTheme="majorHAnsi" w:hAnsiTheme="majorHAnsi" w:cstheme="majorHAnsi"/>
          <w:sz w:val="20"/>
          <w:szCs w:val="20"/>
        </w:rPr>
        <w:t>ompensation</w:t>
      </w:r>
    </w:p>
    <w:p w14:paraId="1732BB57" w14:textId="11F4D542" w:rsidR="00A67D78" w:rsidRDefault="0002184E" w:rsidP="00EE5F05">
      <w:pPr>
        <w:pStyle w:val="NormalWeb"/>
        <w:numPr>
          <w:ilvl w:val="0"/>
          <w:numId w:val="6"/>
        </w:numPr>
        <w:rPr>
          <w:rFonts w:asciiTheme="majorHAnsi" w:hAnsiTheme="majorHAnsi" w:cstheme="majorHAnsi"/>
          <w:sz w:val="20"/>
          <w:szCs w:val="20"/>
        </w:rPr>
      </w:pPr>
      <w:r w:rsidRPr="00894E4A">
        <w:rPr>
          <w:rFonts w:asciiTheme="majorHAnsi" w:hAnsiTheme="majorHAnsi" w:cstheme="majorHAnsi"/>
          <w:sz w:val="20"/>
          <w:szCs w:val="20"/>
        </w:rPr>
        <w:t>IPO readiness</w:t>
      </w:r>
    </w:p>
    <w:p w14:paraId="6FD86DB0" w14:textId="599FE04C" w:rsidR="0050312F" w:rsidRPr="00894E4A" w:rsidRDefault="0050312F" w:rsidP="00EE5F05">
      <w:pPr>
        <w:pStyle w:val="NormalWeb"/>
        <w:numPr>
          <w:ilvl w:val="0"/>
          <w:numId w:val="6"/>
        </w:numPr>
        <w:rPr>
          <w:rFonts w:asciiTheme="majorHAnsi" w:hAnsiTheme="majorHAnsi" w:cstheme="majorHAnsi"/>
          <w:sz w:val="20"/>
          <w:szCs w:val="20"/>
        </w:rPr>
      </w:pPr>
      <w:r>
        <w:rPr>
          <w:rFonts w:asciiTheme="majorHAnsi" w:hAnsiTheme="majorHAnsi" w:cstheme="majorHAnsi"/>
          <w:sz w:val="20"/>
          <w:szCs w:val="20"/>
        </w:rPr>
        <w:t>Pay transparency</w:t>
      </w:r>
    </w:p>
    <w:p w14:paraId="37DE5217" w14:textId="77777777" w:rsidR="000701B1" w:rsidRPr="000701B1" w:rsidRDefault="000701B1" w:rsidP="000701B1">
      <w:pPr>
        <w:pStyle w:val="NormalWeb"/>
        <w:spacing w:after="135"/>
        <w:ind w:left="360"/>
        <w:rPr>
          <w:color w:val="000000"/>
          <w:sz w:val="20"/>
          <w:szCs w:val="20"/>
        </w:rPr>
      </w:pPr>
    </w:p>
    <w:p w14:paraId="5654EA00" w14:textId="1EA70196" w:rsidR="00E52D34" w:rsidRPr="00A573FA" w:rsidRDefault="0045386B" w:rsidP="00E52D34">
      <w:pPr>
        <w:pStyle w:val="NormalWeb"/>
        <w:spacing w:after="135"/>
        <w:rPr>
          <w:rFonts w:ascii="Didot" w:hAnsi="Didot"/>
          <w:b/>
          <w:bCs/>
          <w:color w:val="4472C4" w:themeColor="accent1"/>
          <w:sz w:val="32"/>
          <w:szCs w:val="32"/>
        </w:rPr>
      </w:pPr>
      <w:r>
        <w:rPr>
          <w:rFonts w:ascii="Didot" w:hAnsi="Didot"/>
          <w:b/>
          <w:bCs/>
          <w:color w:val="4472C4" w:themeColor="accent1"/>
          <w:sz w:val="32"/>
          <w:szCs w:val="32"/>
        </w:rPr>
        <w:t>Board advisory services</w:t>
      </w:r>
    </w:p>
    <w:p w14:paraId="3323B520" w14:textId="3C459620" w:rsidR="000B7E8D" w:rsidRPr="0002184E" w:rsidRDefault="0045386B" w:rsidP="0002184E">
      <w:pPr>
        <w:pStyle w:val="NormalWeb"/>
        <w:rPr>
          <w:rFonts w:asciiTheme="majorHAnsi" w:hAnsiTheme="majorHAnsi" w:cstheme="majorHAnsi"/>
          <w:color w:val="000000"/>
          <w:sz w:val="20"/>
          <w:szCs w:val="20"/>
        </w:rPr>
      </w:pPr>
      <w:r>
        <w:rPr>
          <w:rFonts w:asciiTheme="majorHAnsi" w:hAnsiTheme="majorHAnsi" w:cstheme="majorHAnsi"/>
          <w:color w:val="000000"/>
          <w:sz w:val="20"/>
          <w:szCs w:val="20"/>
        </w:rPr>
        <w:t xml:space="preserve">In </w:t>
      </w:r>
      <w:r w:rsidR="001221AC">
        <w:rPr>
          <w:rFonts w:asciiTheme="majorHAnsi" w:hAnsiTheme="majorHAnsi" w:cstheme="majorHAnsi"/>
          <w:color w:val="000000"/>
          <w:sz w:val="20"/>
          <w:szCs w:val="20"/>
        </w:rPr>
        <w:t>collaboration</w:t>
      </w:r>
      <w:r>
        <w:rPr>
          <w:rFonts w:asciiTheme="majorHAnsi" w:hAnsiTheme="majorHAnsi" w:cstheme="majorHAnsi"/>
          <w:color w:val="000000"/>
          <w:sz w:val="20"/>
          <w:szCs w:val="20"/>
        </w:rPr>
        <w:t xml:space="preserve"> with the Board and senior team, we provide the following annual advisory services, including:</w:t>
      </w:r>
    </w:p>
    <w:p w14:paraId="31B833DB" w14:textId="02AA30E7" w:rsidR="0002184E" w:rsidRPr="00894E4A" w:rsidRDefault="0002184E" w:rsidP="000B7E8D">
      <w:pPr>
        <w:pStyle w:val="NormalWeb"/>
        <w:spacing w:after="135"/>
        <w:rPr>
          <w:bCs/>
          <w:color w:val="000000"/>
          <w:sz w:val="20"/>
          <w:szCs w:val="20"/>
        </w:rPr>
      </w:pPr>
    </w:p>
    <w:p w14:paraId="691BF029" w14:textId="7FA7ED5E" w:rsidR="0002184E" w:rsidRDefault="0002184E" w:rsidP="0002184E">
      <w:pPr>
        <w:pStyle w:val="NormalWeb"/>
        <w:numPr>
          <w:ilvl w:val="0"/>
          <w:numId w:val="6"/>
        </w:numPr>
        <w:rPr>
          <w:rFonts w:asciiTheme="majorHAnsi" w:hAnsiTheme="majorHAnsi" w:cstheme="majorHAnsi"/>
          <w:sz w:val="20"/>
          <w:szCs w:val="20"/>
        </w:rPr>
      </w:pPr>
      <w:r w:rsidRPr="0002184E">
        <w:rPr>
          <w:rFonts w:asciiTheme="majorHAnsi" w:hAnsiTheme="majorHAnsi" w:cstheme="majorHAnsi"/>
          <w:b/>
          <w:bCs/>
          <w:color w:val="4472C4" w:themeColor="accent1"/>
          <w:sz w:val="20"/>
          <w:szCs w:val="20"/>
        </w:rPr>
        <w:t>Peer group</w:t>
      </w:r>
      <w:proofErr w:type="gramStart"/>
      <w:r w:rsidRPr="0002184E">
        <w:rPr>
          <w:rFonts w:asciiTheme="majorHAnsi" w:hAnsiTheme="majorHAnsi" w:cstheme="majorHAnsi"/>
          <w:b/>
          <w:bCs/>
          <w:color w:val="4472C4" w:themeColor="accent1"/>
          <w:sz w:val="20"/>
          <w:szCs w:val="20"/>
        </w:rPr>
        <w:t>:</w:t>
      </w:r>
      <w:r w:rsidRPr="0002184E">
        <w:rPr>
          <w:rFonts w:asciiTheme="majorHAnsi" w:hAnsiTheme="majorHAnsi" w:cstheme="majorHAnsi"/>
          <w:color w:val="4472C4" w:themeColor="accent1"/>
          <w:sz w:val="20"/>
          <w:szCs w:val="20"/>
        </w:rPr>
        <w:t xml:space="preserve">  </w:t>
      </w:r>
      <w:r w:rsidR="00ED1CB2">
        <w:rPr>
          <w:rFonts w:asciiTheme="majorHAnsi" w:hAnsiTheme="majorHAnsi" w:cstheme="majorHAnsi"/>
          <w:sz w:val="20"/>
          <w:szCs w:val="20"/>
        </w:rPr>
        <w:t>Evaluating</w:t>
      </w:r>
      <w:proofErr w:type="gramEnd"/>
      <w:r w:rsidR="00ED1CB2">
        <w:rPr>
          <w:rFonts w:asciiTheme="majorHAnsi" w:hAnsiTheme="majorHAnsi" w:cstheme="majorHAnsi"/>
          <w:sz w:val="20"/>
          <w:szCs w:val="20"/>
        </w:rPr>
        <w:t xml:space="preserve"> </w:t>
      </w:r>
      <w:r w:rsidRPr="0002184E">
        <w:rPr>
          <w:rFonts w:asciiTheme="majorHAnsi" w:hAnsiTheme="majorHAnsi" w:cstheme="majorHAnsi"/>
          <w:sz w:val="20"/>
          <w:szCs w:val="20"/>
        </w:rPr>
        <w:t xml:space="preserve">the group of </w:t>
      </w:r>
      <w:r w:rsidR="004D466E" w:rsidRPr="0002184E">
        <w:rPr>
          <w:rFonts w:asciiTheme="majorHAnsi" w:hAnsiTheme="majorHAnsi" w:cstheme="majorHAnsi"/>
          <w:sz w:val="20"/>
          <w:szCs w:val="20"/>
        </w:rPr>
        <w:t>publicly traded</w:t>
      </w:r>
      <w:r w:rsidRPr="0002184E">
        <w:rPr>
          <w:rFonts w:asciiTheme="majorHAnsi" w:hAnsiTheme="majorHAnsi" w:cstheme="majorHAnsi"/>
          <w:sz w:val="20"/>
          <w:szCs w:val="20"/>
        </w:rPr>
        <w:t xml:space="preserve"> companies for benchmarking purposes, based on approved selection criteria</w:t>
      </w:r>
      <w:r w:rsidR="00C87F7A">
        <w:rPr>
          <w:rFonts w:asciiTheme="majorHAnsi" w:hAnsiTheme="majorHAnsi" w:cstheme="majorHAnsi"/>
          <w:sz w:val="20"/>
          <w:szCs w:val="20"/>
        </w:rPr>
        <w:t>.</w:t>
      </w:r>
    </w:p>
    <w:p w14:paraId="1656A698" w14:textId="77777777" w:rsidR="00C87F7A" w:rsidRPr="00C87F7A" w:rsidRDefault="00C87F7A" w:rsidP="00C87F7A">
      <w:pPr>
        <w:pStyle w:val="NormalWeb"/>
        <w:ind w:left="720"/>
        <w:rPr>
          <w:rFonts w:asciiTheme="majorHAnsi" w:hAnsiTheme="majorHAnsi" w:cstheme="majorHAnsi"/>
          <w:sz w:val="10"/>
          <w:szCs w:val="10"/>
        </w:rPr>
      </w:pPr>
    </w:p>
    <w:p w14:paraId="0AD813AF" w14:textId="0D693F3A" w:rsidR="00ED1CB2" w:rsidRDefault="002529EB" w:rsidP="00ED1CB2">
      <w:pPr>
        <w:pStyle w:val="NormalWeb"/>
        <w:numPr>
          <w:ilvl w:val="0"/>
          <w:numId w:val="6"/>
        </w:numPr>
        <w:rPr>
          <w:rFonts w:asciiTheme="majorHAnsi" w:hAnsiTheme="majorHAnsi" w:cstheme="majorHAnsi"/>
          <w:sz w:val="20"/>
          <w:szCs w:val="20"/>
        </w:rPr>
      </w:pPr>
      <w:proofErr w:type="gramStart"/>
      <w:r>
        <w:rPr>
          <w:rFonts w:asciiTheme="majorHAnsi" w:hAnsiTheme="majorHAnsi" w:cstheme="majorHAnsi"/>
          <w:b/>
          <w:bCs/>
          <w:color w:val="4472C4" w:themeColor="accent1"/>
          <w:sz w:val="20"/>
          <w:szCs w:val="20"/>
        </w:rPr>
        <w:t>Director</w:t>
      </w:r>
      <w:proofErr w:type="gramEnd"/>
      <w:r>
        <w:rPr>
          <w:rFonts w:asciiTheme="majorHAnsi" w:hAnsiTheme="majorHAnsi" w:cstheme="majorHAnsi"/>
          <w:b/>
          <w:bCs/>
          <w:color w:val="4472C4" w:themeColor="accent1"/>
          <w:sz w:val="20"/>
          <w:szCs w:val="20"/>
        </w:rPr>
        <w:t xml:space="preserve"> c</w:t>
      </w:r>
      <w:r w:rsidR="00ED1CB2">
        <w:rPr>
          <w:rFonts w:asciiTheme="majorHAnsi" w:hAnsiTheme="majorHAnsi" w:cstheme="majorHAnsi"/>
          <w:b/>
          <w:bCs/>
          <w:color w:val="4472C4" w:themeColor="accent1"/>
          <w:sz w:val="20"/>
          <w:szCs w:val="20"/>
        </w:rPr>
        <w:t>ompensation</w:t>
      </w:r>
      <w:proofErr w:type="gramStart"/>
      <w:r w:rsidR="00ED1CB2" w:rsidRPr="0002184E">
        <w:rPr>
          <w:rFonts w:asciiTheme="majorHAnsi" w:hAnsiTheme="majorHAnsi" w:cstheme="majorHAnsi"/>
          <w:b/>
          <w:bCs/>
          <w:color w:val="4472C4" w:themeColor="accent1"/>
          <w:sz w:val="20"/>
          <w:szCs w:val="20"/>
        </w:rPr>
        <w:t>:</w:t>
      </w:r>
      <w:r w:rsidR="00ED1CB2" w:rsidRPr="0002184E">
        <w:rPr>
          <w:rFonts w:asciiTheme="majorHAnsi" w:hAnsiTheme="majorHAnsi" w:cstheme="majorHAnsi"/>
          <w:sz w:val="20"/>
          <w:szCs w:val="20"/>
        </w:rPr>
        <w:t xml:space="preserve">  </w:t>
      </w:r>
      <w:r w:rsidR="00ED1CB2">
        <w:rPr>
          <w:rFonts w:asciiTheme="majorHAnsi" w:hAnsiTheme="majorHAnsi" w:cstheme="majorHAnsi"/>
          <w:sz w:val="20"/>
          <w:szCs w:val="20"/>
        </w:rPr>
        <w:t>Evaluating</w:t>
      </w:r>
      <w:proofErr w:type="gramEnd"/>
      <w:r w:rsidR="00ED1CB2" w:rsidRPr="0002184E">
        <w:rPr>
          <w:rFonts w:asciiTheme="majorHAnsi" w:hAnsiTheme="majorHAnsi" w:cstheme="majorHAnsi"/>
          <w:sz w:val="20"/>
          <w:szCs w:val="20"/>
        </w:rPr>
        <w:t xml:space="preserve"> the Company’s pay strategy for the Board, including retainers, equity and additional pay for chair and committee participation</w:t>
      </w:r>
      <w:r w:rsidR="00ED1CB2">
        <w:rPr>
          <w:rFonts w:asciiTheme="majorHAnsi" w:hAnsiTheme="majorHAnsi" w:cstheme="majorHAnsi"/>
          <w:sz w:val="20"/>
          <w:szCs w:val="20"/>
        </w:rPr>
        <w:t>.</w:t>
      </w:r>
    </w:p>
    <w:p w14:paraId="77806B45" w14:textId="77777777" w:rsidR="00ED1CB2" w:rsidRPr="00ED1CB2" w:rsidRDefault="00ED1CB2" w:rsidP="00ED1CB2">
      <w:pPr>
        <w:pStyle w:val="NormalWeb"/>
        <w:rPr>
          <w:rFonts w:asciiTheme="majorHAnsi" w:hAnsiTheme="majorHAnsi" w:cstheme="majorHAnsi"/>
          <w:sz w:val="10"/>
          <w:szCs w:val="10"/>
        </w:rPr>
      </w:pPr>
    </w:p>
    <w:p w14:paraId="6FFFF3DC" w14:textId="400A7C00" w:rsidR="00ED1CB2" w:rsidRDefault="00ED1CB2" w:rsidP="00ED1CB2">
      <w:pPr>
        <w:pStyle w:val="NormalWeb"/>
        <w:numPr>
          <w:ilvl w:val="0"/>
          <w:numId w:val="6"/>
        </w:numPr>
        <w:rPr>
          <w:rFonts w:asciiTheme="majorHAnsi" w:hAnsiTheme="majorHAnsi" w:cstheme="majorHAnsi"/>
          <w:sz w:val="20"/>
          <w:szCs w:val="20"/>
        </w:rPr>
      </w:pPr>
      <w:r w:rsidRPr="0002184E">
        <w:rPr>
          <w:rFonts w:asciiTheme="majorHAnsi" w:hAnsiTheme="majorHAnsi" w:cstheme="majorHAnsi"/>
          <w:b/>
          <w:bCs/>
          <w:color w:val="4472C4" w:themeColor="accent1"/>
          <w:sz w:val="20"/>
          <w:szCs w:val="20"/>
        </w:rPr>
        <w:t>Executive compensation</w:t>
      </w:r>
      <w:proofErr w:type="gramStart"/>
      <w:r w:rsidRPr="0002184E">
        <w:rPr>
          <w:rFonts w:asciiTheme="majorHAnsi" w:hAnsiTheme="majorHAnsi" w:cstheme="majorHAnsi"/>
          <w:b/>
          <w:bCs/>
          <w:color w:val="4472C4" w:themeColor="accent1"/>
          <w:sz w:val="20"/>
          <w:szCs w:val="20"/>
        </w:rPr>
        <w:t>:</w:t>
      </w:r>
      <w:r w:rsidRPr="0002184E">
        <w:rPr>
          <w:rFonts w:asciiTheme="majorHAnsi" w:hAnsiTheme="majorHAnsi" w:cstheme="majorHAnsi"/>
          <w:sz w:val="20"/>
          <w:szCs w:val="20"/>
        </w:rPr>
        <w:t xml:space="preserve">  </w:t>
      </w:r>
      <w:r>
        <w:rPr>
          <w:rFonts w:asciiTheme="majorHAnsi" w:hAnsiTheme="majorHAnsi" w:cstheme="majorHAnsi"/>
          <w:sz w:val="20"/>
          <w:szCs w:val="20"/>
        </w:rPr>
        <w:t>Evaluating</w:t>
      </w:r>
      <w:proofErr w:type="gramEnd"/>
      <w:r>
        <w:rPr>
          <w:rFonts w:asciiTheme="majorHAnsi" w:hAnsiTheme="majorHAnsi" w:cstheme="majorHAnsi"/>
          <w:sz w:val="20"/>
          <w:szCs w:val="20"/>
        </w:rPr>
        <w:t xml:space="preserve"> </w:t>
      </w:r>
      <w:r w:rsidRPr="0002184E">
        <w:rPr>
          <w:rFonts w:asciiTheme="majorHAnsi" w:hAnsiTheme="majorHAnsi" w:cstheme="majorHAnsi"/>
          <w:sz w:val="20"/>
          <w:szCs w:val="20"/>
        </w:rPr>
        <w:t>the Company’s pay strategy for the senior team, including base salaries, target bonus levels, equity grant</w:t>
      </w:r>
      <w:r>
        <w:rPr>
          <w:rFonts w:asciiTheme="majorHAnsi" w:hAnsiTheme="majorHAnsi" w:cstheme="majorHAnsi"/>
          <w:sz w:val="20"/>
          <w:szCs w:val="20"/>
        </w:rPr>
        <w:t xml:space="preserve"> guidelines, </w:t>
      </w:r>
      <w:r w:rsidRPr="0002184E">
        <w:rPr>
          <w:rFonts w:asciiTheme="majorHAnsi" w:hAnsiTheme="majorHAnsi" w:cstheme="majorHAnsi"/>
          <w:sz w:val="20"/>
          <w:szCs w:val="20"/>
        </w:rPr>
        <w:t>potential ownership levels</w:t>
      </w:r>
      <w:r>
        <w:rPr>
          <w:rFonts w:asciiTheme="majorHAnsi" w:hAnsiTheme="majorHAnsi" w:cstheme="majorHAnsi"/>
          <w:sz w:val="20"/>
          <w:szCs w:val="20"/>
        </w:rPr>
        <w:t>, and severance provisions.</w:t>
      </w:r>
    </w:p>
    <w:p w14:paraId="6D43E1CA" w14:textId="77777777" w:rsidR="00ED1CB2" w:rsidRPr="00ED1CB2" w:rsidRDefault="00ED1CB2" w:rsidP="00ED1CB2">
      <w:pPr>
        <w:pStyle w:val="NormalWeb"/>
        <w:rPr>
          <w:rFonts w:asciiTheme="majorHAnsi" w:hAnsiTheme="majorHAnsi" w:cstheme="majorHAnsi"/>
          <w:sz w:val="10"/>
          <w:szCs w:val="10"/>
        </w:rPr>
      </w:pPr>
    </w:p>
    <w:p w14:paraId="00730611" w14:textId="3F563396" w:rsidR="00ED1CB2" w:rsidRDefault="00ED1CB2" w:rsidP="00ED1CB2">
      <w:pPr>
        <w:pStyle w:val="NormalWeb"/>
        <w:numPr>
          <w:ilvl w:val="0"/>
          <w:numId w:val="6"/>
        </w:numPr>
        <w:rPr>
          <w:rFonts w:asciiTheme="majorHAnsi" w:hAnsiTheme="majorHAnsi" w:cstheme="majorHAnsi"/>
          <w:sz w:val="20"/>
          <w:szCs w:val="20"/>
        </w:rPr>
      </w:pPr>
      <w:r>
        <w:rPr>
          <w:rFonts w:asciiTheme="majorHAnsi" w:hAnsiTheme="majorHAnsi" w:cstheme="majorHAnsi"/>
          <w:b/>
          <w:bCs/>
          <w:color w:val="4472C4" w:themeColor="accent1"/>
          <w:sz w:val="20"/>
          <w:szCs w:val="20"/>
        </w:rPr>
        <w:t>Equity strategy</w:t>
      </w:r>
      <w:proofErr w:type="gramStart"/>
      <w:r w:rsidRPr="0002184E">
        <w:rPr>
          <w:rFonts w:asciiTheme="majorHAnsi" w:hAnsiTheme="majorHAnsi" w:cstheme="majorHAnsi"/>
          <w:b/>
          <w:bCs/>
          <w:color w:val="4472C4" w:themeColor="accent1"/>
          <w:sz w:val="20"/>
          <w:szCs w:val="20"/>
        </w:rPr>
        <w:t xml:space="preserve">: </w:t>
      </w:r>
      <w:r w:rsidRPr="0002184E">
        <w:rPr>
          <w:rFonts w:asciiTheme="majorHAnsi" w:hAnsiTheme="majorHAnsi" w:cstheme="majorHAnsi"/>
          <w:sz w:val="20"/>
          <w:szCs w:val="20"/>
        </w:rPr>
        <w:t xml:space="preserve"> </w:t>
      </w:r>
      <w:r>
        <w:rPr>
          <w:rFonts w:asciiTheme="majorHAnsi" w:hAnsiTheme="majorHAnsi" w:cstheme="majorHAnsi"/>
          <w:sz w:val="20"/>
          <w:szCs w:val="20"/>
        </w:rPr>
        <w:t>Evaluating</w:t>
      </w:r>
      <w:proofErr w:type="gramEnd"/>
      <w:r>
        <w:rPr>
          <w:rFonts w:asciiTheme="majorHAnsi" w:hAnsiTheme="majorHAnsi" w:cstheme="majorHAnsi"/>
          <w:sz w:val="20"/>
          <w:szCs w:val="20"/>
        </w:rPr>
        <w:t xml:space="preserve"> the Company’s equity strategy, including overall utilization and projected usage going forward, based on established competitive grant guidelines.</w:t>
      </w:r>
    </w:p>
    <w:p w14:paraId="6905D0D7" w14:textId="77777777" w:rsidR="00BA754C" w:rsidRPr="00BA754C" w:rsidRDefault="00BA754C" w:rsidP="00BA754C">
      <w:pPr>
        <w:pStyle w:val="NormalWeb"/>
        <w:rPr>
          <w:rFonts w:asciiTheme="majorHAnsi" w:hAnsiTheme="majorHAnsi" w:cstheme="majorHAnsi"/>
          <w:sz w:val="10"/>
          <w:szCs w:val="10"/>
        </w:rPr>
      </w:pPr>
    </w:p>
    <w:p w14:paraId="57BC69AE" w14:textId="6BA899B6" w:rsidR="00ED1CB2" w:rsidRDefault="00ED1CB2" w:rsidP="00ED1CB2">
      <w:pPr>
        <w:pStyle w:val="NormalWeb"/>
        <w:numPr>
          <w:ilvl w:val="0"/>
          <w:numId w:val="6"/>
        </w:numPr>
        <w:rPr>
          <w:rFonts w:asciiTheme="majorHAnsi" w:hAnsiTheme="majorHAnsi" w:cstheme="majorHAnsi"/>
          <w:sz w:val="20"/>
          <w:szCs w:val="20"/>
        </w:rPr>
      </w:pPr>
      <w:r>
        <w:rPr>
          <w:rFonts w:asciiTheme="majorHAnsi" w:hAnsiTheme="majorHAnsi" w:cstheme="majorHAnsi"/>
          <w:b/>
          <w:bCs/>
          <w:color w:val="4472C4" w:themeColor="accent1"/>
          <w:sz w:val="20"/>
          <w:szCs w:val="20"/>
        </w:rPr>
        <w:t>Trends update</w:t>
      </w:r>
      <w:proofErr w:type="gramStart"/>
      <w:r w:rsidRPr="0002184E">
        <w:rPr>
          <w:rFonts w:asciiTheme="majorHAnsi" w:hAnsiTheme="majorHAnsi" w:cstheme="majorHAnsi"/>
          <w:b/>
          <w:bCs/>
          <w:color w:val="4472C4" w:themeColor="accent1"/>
          <w:sz w:val="20"/>
          <w:szCs w:val="20"/>
        </w:rPr>
        <w:t>:</w:t>
      </w:r>
      <w:r w:rsidRPr="0002184E">
        <w:rPr>
          <w:rFonts w:asciiTheme="majorHAnsi" w:hAnsiTheme="majorHAnsi" w:cstheme="majorHAnsi"/>
          <w:sz w:val="20"/>
          <w:szCs w:val="20"/>
        </w:rPr>
        <w:t xml:space="preserve">  </w:t>
      </w:r>
      <w:r w:rsidR="0045386B">
        <w:rPr>
          <w:rFonts w:asciiTheme="majorHAnsi" w:hAnsiTheme="majorHAnsi" w:cstheme="majorHAnsi"/>
          <w:sz w:val="20"/>
          <w:szCs w:val="20"/>
        </w:rPr>
        <w:t>Providing</w:t>
      </w:r>
      <w:proofErr w:type="gramEnd"/>
      <w:r>
        <w:rPr>
          <w:rFonts w:asciiTheme="majorHAnsi" w:hAnsiTheme="majorHAnsi" w:cstheme="majorHAnsi"/>
          <w:sz w:val="20"/>
          <w:szCs w:val="20"/>
        </w:rPr>
        <w:t xml:space="preserve"> the Company with the </w:t>
      </w:r>
      <w:proofErr w:type="gramStart"/>
      <w:r>
        <w:rPr>
          <w:rFonts w:asciiTheme="majorHAnsi" w:hAnsiTheme="majorHAnsi" w:cstheme="majorHAnsi"/>
          <w:sz w:val="20"/>
          <w:szCs w:val="20"/>
        </w:rPr>
        <w:t>latest in</w:t>
      </w:r>
      <w:proofErr w:type="gramEnd"/>
      <w:r>
        <w:rPr>
          <w:rFonts w:asciiTheme="majorHAnsi" w:hAnsiTheme="majorHAnsi" w:cstheme="majorHAnsi"/>
          <w:sz w:val="20"/>
          <w:szCs w:val="20"/>
        </w:rPr>
        <w:t xml:space="preserve"> trends and guidance on pay and how to best navigate </w:t>
      </w:r>
      <w:r w:rsidR="0045386B">
        <w:rPr>
          <w:rFonts w:asciiTheme="majorHAnsi" w:hAnsiTheme="majorHAnsi" w:cstheme="majorHAnsi"/>
          <w:sz w:val="20"/>
          <w:szCs w:val="20"/>
        </w:rPr>
        <w:t xml:space="preserve">the market </w:t>
      </w:r>
      <w:r>
        <w:rPr>
          <w:rFonts w:asciiTheme="majorHAnsi" w:hAnsiTheme="majorHAnsi" w:cstheme="majorHAnsi"/>
          <w:sz w:val="20"/>
          <w:szCs w:val="20"/>
        </w:rPr>
        <w:t>based on upcoming issues.</w:t>
      </w:r>
    </w:p>
    <w:p w14:paraId="05D858FB" w14:textId="77777777" w:rsidR="008E544F" w:rsidRDefault="008E544F" w:rsidP="00E52D34">
      <w:pPr>
        <w:pStyle w:val="NormalWeb"/>
        <w:spacing w:after="135"/>
        <w:rPr>
          <w:color w:val="000000"/>
          <w:sz w:val="20"/>
          <w:szCs w:val="20"/>
        </w:rPr>
      </w:pPr>
    </w:p>
    <w:p w14:paraId="43B7D49C" w14:textId="667C139A" w:rsidR="004F2BD8" w:rsidRPr="00A573FA" w:rsidRDefault="004F2BD8" w:rsidP="004F2BD8">
      <w:pPr>
        <w:pStyle w:val="NormalWeb"/>
        <w:spacing w:after="135"/>
        <w:rPr>
          <w:rFonts w:ascii="Didot" w:hAnsi="Didot"/>
          <w:b/>
          <w:bCs/>
          <w:color w:val="4472C4" w:themeColor="accent1"/>
          <w:sz w:val="32"/>
          <w:szCs w:val="32"/>
        </w:rPr>
      </w:pPr>
      <w:r>
        <w:rPr>
          <w:rFonts w:ascii="Didot" w:hAnsi="Didot"/>
          <w:b/>
          <w:bCs/>
          <w:color w:val="4472C4" w:themeColor="accent1"/>
          <w:sz w:val="32"/>
          <w:szCs w:val="32"/>
        </w:rPr>
        <w:t>Why us</w:t>
      </w:r>
    </w:p>
    <w:p w14:paraId="7EEDE554" w14:textId="774CAD2B" w:rsidR="004F2BD8" w:rsidRDefault="004F2BD8" w:rsidP="004F2BD8">
      <w:pPr>
        <w:pStyle w:val="NormalWeb"/>
        <w:numPr>
          <w:ilvl w:val="0"/>
          <w:numId w:val="6"/>
        </w:numPr>
        <w:rPr>
          <w:rFonts w:asciiTheme="majorHAnsi" w:hAnsiTheme="majorHAnsi" w:cstheme="majorHAnsi"/>
          <w:sz w:val="20"/>
          <w:szCs w:val="20"/>
        </w:rPr>
      </w:pPr>
      <w:r>
        <w:rPr>
          <w:rFonts w:asciiTheme="majorHAnsi" w:hAnsiTheme="majorHAnsi" w:cstheme="majorHAnsi"/>
          <w:b/>
          <w:bCs/>
          <w:color w:val="4472C4" w:themeColor="accent1"/>
          <w:sz w:val="20"/>
          <w:szCs w:val="20"/>
        </w:rPr>
        <w:t>In</w:t>
      </w:r>
      <w:r w:rsidRPr="004F2BD8">
        <w:rPr>
          <w:rFonts w:asciiTheme="majorHAnsi" w:hAnsiTheme="majorHAnsi" w:cstheme="majorHAnsi"/>
          <w:b/>
          <w:bCs/>
          <w:color w:val="4472C4" w:themeColor="accent1"/>
          <w:sz w:val="20"/>
          <w:szCs w:val="20"/>
        </w:rPr>
        <w:t>dustry expertise</w:t>
      </w:r>
      <w:proofErr w:type="gramStart"/>
      <w:r w:rsidRPr="004F2BD8">
        <w:rPr>
          <w:rFonts w:asciiTheme="majorHAnsi" w:hAnsiTheme="majorHAnsi" w:cstheme="majorHAnsi"/>
          <w:b/>
          <w:bCs/>
          <w:color w:val="4472C4" w:themeColor="accent1"/>
          <w:sz w:val="20"/>
          <w:szCs w:val="20"/>
        </w:rPr>
        <w:t>:</w:t>
      </w:r>
      <w:r w:rsidRPr="004F2BD8">
        <w:rPr>
          <w:rFonts w:asciiTheme="majorHAnsi" w:hAnsiTheme="majorHAnsi" w:cstheme="majorHAnsi"/>
          <w:sz w:val="20"/>
          <w:szCs w:val="20"/>
        </w:rPr>
        <w:t xml:space="preserve">  </w:t>
      </w:r>
      <w:r w:rsidR="002B06C2" w:rsidRPr="00BC1346">
        <w:rPr>
          <w:rFonts w:asciiTheme="majorHAnsi" w:hAnsiTheme="majorHAnsi" w:cstheme="majorHAnsi"/>
          <w:color w:val="000000"/>
          <w:sz w:val="20"/>
          <w:szCs w:val="20"/>
        </w:rPr>
        <w:t>We</w:t>
      </w:r>
      <w:proofErr w:type="gramEnd"/>
      <w:r w:rsidR="002B06C2" w:rsidRPr="00BC1346">
        <w:rPr>
          <w:rFonts w:asciiTheme="majorHAnsi" w:hAnsiTheme="majorHAnsi" w:cstheme="majorHAnsi"/>
          <w:color w:val="000000"/>
          <w:sz w:val="20"/>
          <w:szCs w:val="20"/>
        </w:rPr>
        <w:t xml:space="preserve"> focus extensively on life sciences companies</w:t>
      </w:r>
      <w:r w:rsidR="002B06C2">
        <w:rPr>
          <w:rFonts w:asciiTheme="majorHAnsi" w:hAnsiTheme="majorHAnsi" w:cstheme="majorHAnsi"/>
          <w:sz w:val="20"/>
          <w:szCs w:val="20"/>
        </w:rPr>
        <w:t>.  This understanding</w:t>
      </w:r>
      <w:r w:rsidRPr="004F2BD8">
        <w:rPr>
          <w:rFonts w:asciiTheme="majorHAnsi" w:hAnsiTheme="majorHAnsi" w:cstheme="majorHAnsi"/>
          <w:sz w:val="20"/>
          <w:szCs w:val="20"/>
        </w:rPr>
        <w:t xml:space="preserve"> is critical in </w:t>
      </w:r>
      <w:r w:rsidR="002B06C2">
        <w:rPr>
          <w:rFonts w:asciiTheme="majorHAnsi" w:hAnsiTheme="majorHAnsi" w:cstheme="majorHAnsi"/>
          <w:sz w:val="20"/>
          <w:szCs w:val="20"/>
        </w:rPr>
        <w:t xml:space="preserve">providing great advice on market </w:t>
      </w:r>
      <w:r w:rsidR="00A40952">
        <w:rPr>
          <w:rFonts w:asciiTheme="majorHAnsi" w:hAnsiTheme="majorHAnsi" w:cstheme="majorHAnsi"/>
          <w:sz w:val="20"/>
          <w:szCs w:val="20"/>
        </w:rPr>
        <w:t>practices and trends</w:t>
      </w:r>
      <w:r w:rsidRPr="004F2BD8">
        <w:rPr>
          <w:rFonts w:asciiTheme="majorHAnsi" w:hAnsiTheme="majorHAnsi" w:cstheme="majorHAnsi"/>
          <w:sz w:val="20"/>
          <w:szCs w:val="20"/>
        </w:rPr>
        <w:t>.</w:t>
      </w:r>
    </w:p>
    <w:p w14:paraId="06B202B7" w14:textId="77777777" w:rsidR="00C87F7A" w:rsidRPr="002B06C2" w:rsidRDefault="00C87F7A" w:rsidP="002B06C2">
      <w:pPr>
        <w:pStyle w:val="NormalWeb"/>
        <w:ind w:left="720"/>
        <w:rPr>
          <w:rFonts w:asciiTheme="majorHAnsi" w:hAnsiTheme="majorHAnsi" w:cstheme="majorHAnsi"/>
          <w:sz w:val="10"/>
          <w:szCs w:val="10"/>
        </w:rPr>
      </w:pPr>
    </w:p>
    <w:p w14:paraId="7A73B370" w14:textId="6950D0F4" w:rsidR="004F2BD8" w:rsidRDefault="004F2BD8" w:rsidP="0076745E">
      <w:pPr>
        <w:pStyle w:val="NormalWeb"/>
        <w:numPr>
          <w:ilvl w:val="0"/>
          <w:numId w:val="6"/>
        </w:numPr>
        <w:rPr>
          <w:rFonts w:asciiTheme="majorHAnsi" w:hAnsiTheme="majorHAnsi" w:cstheme="majorHAnsi"/>
          <w:sz w:val="20"/>
          <w:szCs w:val="20"/>
        </w:rPr>
      </w:pPr>
      <w:r w:rsidRPr="004F2BD8">
        <w:rPr>
          <w:rFonts w:asciiTheme="majorHAnsi" w:hAnsiTheme="majorHAnsi" w:cstheme="majorHAnsi"/>
          <w:b/>
          <w:bCs/>
          <w:color w:val="4472C4" w:themeColor="accent1"/>
          <w:sz w:val="20"/>
          <w:szCs w:val="20"/>
        </w:rPr>
        <w:t>Fixed fee approach</w:t>
      </w:r>
      <w:proofErr w:type="gramStart"/>
      <w:r w:rsidRPr="004F2BD8">
        <w:rPr>
          <w:rFonts w:asciiTheme="majorHAnsi" w:hAnsiTheme="majorHAnsi" w:cstheme="majorHAnsi"/>
          <w:b/>
          <w:bCs/>
          <w:color w:val="4472C4" w:themeColor="accent1"/>
          <w:sz w:val="20"/>
          <w:szCs w:val="20"/>
        </w:rPr>
        <w:t>:</w:t>
      </w:r>
      <w:r w:rsidRPr="004F2BD8">
        <w:rPr>
          <w:rFonts w:asciiTheme="majorHAnsi" w:hAnsiTheme="majorHAnsi" w:cstheme="majorHAnsi"/>
          <w:sz w:val="20"/>
          <w:szCs w:val="20"/>
        </w:rPr>
        <w:t xml:space="preserve">  Having</w:t>
      </w:r>
      <w:proofErr w:type="gramEnd"/>
      <w:r w:rsidRPr="004F2BD8">
        <w:rPr>
          <w:rFonts w:asciiTheme="majorHAnsi" w:hAnsiTheme="majorHAnsi" w:cstheme="majorHAnsi"/>
          <w:sz w:val="20"/>
          <w:szCs w:val="20"/>
        </w:rPr>
        <w:t xml:space="preserve"> done this type of work for years, we know what it will take to accomplish the work. Because of that, we operate on a fixed fee basis for the engagement.  We will provide an upfront quote for the engagement.  If the scope of </w:t>
      </w:r>
      <w:r w:rsidR="002C17FD" w:rsidRPr="004F2BD8">
        <w:rPr>
          <w:rFonts w:asciiTheme="majorHAnsi" w:hAnsiTheme="majorHAnsi" w:cstheme="majorHAnsi"/>
          <w:sz w:val="20"/>
          <w:szCs w:val="20"/>
        </w:rPr>
        <w:t>the work</w:t>
      </w:r>
      <w:r w:rsidRPr="004F2BD8">
        <w:rPr>
          <w:rFonts w:asciiTheme="majorHAnsi" w:hAnsiTheme="majorHAnsi" w:cstheme="majorHAnsi"/>
          <w:sz w:val="20"/>
          <w:szCs w:val="20"/>
        </w:rPr>
        <w:t xml:space="preserve"> changes, we will agree </w:t>
      </w:r>
      <w:proofErr w:type="gramStart"/>
      <w:r w:rsidRPr="004F2BD8">
        <w:rPr>
          <w:rFonts w:asciiTheme="majorHAnsi" w:hAnsiTheme="majorHAnsi" w:cstheme="majorHAnsi"/>
          <w:sz w:val="20"/>
          <w:szCs w:val="20"/>
        </w:rPr>
        <w:t>in writing</w:t>
      </w:r>
      <w:proofErr w:type="gramEnd"/>
      <w:r w:rsidRPr="004F2BD8">
        <w:rPr>
          <w:rFonts w:asciiTheme="majorHAnsi" w:hAnsiTheme="majorHAnsi" w:cstheme="majorHAnsi"/>
          <w:sz w:val="20"/>
          <w:szCs w:val="20"/>
        </w:rPr>
        <w:t xml:space="preserve"> before billing you.</w:t>
      </w:r>
    </w:p>
    <w:p w14:paraId="1ECF91F4" w14:textId="77777777" w:rsidR="0045386B" w:rsidRPr="0045386B" w:rsidRDefault="0045386B" w:rsidP="0045386B">
      <w:pPr>
        <w:pStyle w:val="NormalWeb"/>
        <w:ind w:left="720"/>
        <w:rPr>
          <w:rFonts w:asciiTheme="majorHAnsi" w:hAnsiTheme="majorHAnsi" w:cstheme="majorHAnsi"/>
          <w:sz w:val="10"/>
          <w:szCs w:val="10"/>
        </w:rPr>
      </w:pPr>
    </w:p>
    <w:p w14:paraId="554C0266" w14:textId="42C306DD" w:rsidR="00ED1CB2" w:rsidRPr="0045386B" w:rsidRDefault="00ED1CB2" w:rsidP="0045386B">
      <w:pPr>
        <w:pStyle w:val="NormalWeb"/>
        <w:numPr>
          <w:ilvl w:val="0"/>
          <w:numId w:val="6"/>
        </w:numPr>
        <w:rPr>
          <w:rFonts w:asciiTheme="majorHAnsi" w:hAnsiTheme="majorHAnsi" w:cstheme="majorHAnsi"/>
          <w:sz w:val="20"/>
          <w:szCs w:val="20"/>
        </w:rPr>
      </w:pPr>
      <w:r>
        <w:rPr>
          <w:rFonts w:asciiTheme="majorHAnsi" w:hAnsiTheme="majorHAnsi" w:cstheme="majorHAnsi"/>
          <w:b/>
          <w:bCs/>
          <w:color w:val="4472C4" w:themeColor="accent1"/>
          <w:sz w:val="20"/>
          <w:szCs w:val="20"/>
        </w:rPr>
        <w:t>Streamlined guidance</w:t>
      </w:r>
      <w:proofErr w:type="gramStart"/>
      <w:r w:rsidRPr="004F2BD8">
        <w:rPr>
          <w:rFonts w:asciiTheme="majorHAnsi" w:hAnsiTheme="majorHAnsi" w:cstheme="majorHAnsi"/>
          <w:b/>
          <w:bCs/>
          <w:color w:val="4472C4" w:themeColor="accent1"/>
          <w:sz w:val="20"/>
          <w:szCs w:val="20"/>
        </w:rPr>
        <w:t>:</w:t>
      </w:r>
      <w:r w:rsidRPr="004F2BD8">
        <w:rPr>
          <w:rFonts w:asciiTheme="majorHAnsi" w:hAnsiTheme="majorHAnsi" w:cstheme="majorHAnsi"/>
          <w:sz w:val="20"/>
          <w:szCs w:val="20"/>
        </w:rPr>
        <w:t xml:space="preserve">  We</w:t>
      </w:r>
      <w:proofErr w:type="gramEnd"/>
      <w:r w:rsidRPr="004F2BD8">
        <w:rPr>
          <w:rFonts w:asciiTheme="majorHAnsi" w:hAnsiTheme="majorHAnsi" w:cstheme="majorHAnsi"/>
          <w:sz w:val="20"/>
          <w:szCs w:val="20"/>
        </w:rPr>
        <w:t xml:space="preserve"> work </w:t>
      </w:r>
      <w:r>
        <w:rPr>
          <w:rFonts w:asciiTheme="majorHAnsi" w:hAnsiTheme="majorHAnsi" w:cstheme="majorHAnsi"/>
          <w:sz w:val="20"/>
          <w:szCs w:val="20"/>
        </w:rPr>
        <w:t xml:space="preserve">closely with </w:t>
      </w:r>
      <w:r w:rsidR="008205DD">
        <w:rPr>
          <w:rFonts w:asciiTheme="majorHAnsi" w:hAnsiTheme="majorHAnsi" w:cstheme="majorHAnsi"/>
          <w:sz w:val="20"/>
          <w:szCs w:val="20"/>
        </w:rPr>
        <w:t>rapidly growing</w:t>
      </w:r>
      <w:r w:rsidR="001221AC">
        <w:rPr>
          <w:rFonts w:asciiTheme="majorHAnsi" w:hAnsiTheme="majorHAnsi" w:cstheme="majorHAnsi"/>
          <w:sz w:val="20"/>
          <w:szCs w:val="20"/>
        </w:rPr>
        <w:t xml:space="preserve"> compani</w:t>
      </w:r>
      <w:r w:rsidR="00AD3016">
        <w:rPr>
          <w:rFonts w:asciiTheme="majorHAnsi" w:hAnsiTheme="majorHAnsi" w:cstheme="majorHAnsi"/>
          <w:sz w:val="20"/>
          <w:szCs w:val="20"/>
        </w:rPr>
        <w:t>es</w:t>
      </w:r>
      <w:r>
        <w:rPr>
          <w:rFonts w:asciiTheme="majorHAnsi" w:hAnsiTheme="majorHAnsi" w:cstheme="majorHAnsi"/>
          <w:sz w:val="20"/>
          <w:szCs w:val="20"/>
        </w:rPr>
        <w:t xml:space="preserve"> to provide them with the information and guidance they need without overloading them with too much data.  Data is the foundation for our advice, but we strive to provide our clients with actionable information</w:t>
      </w:r>
      <w:r w:rsidR="002F6AAA">
        <w:rPr>
          <w:rFonts w:asciiTheme="majorHAnsi" w:hAnsiTheme="majorHAnsi" w:cstheme="majorHAnsi"/>
          <w:sz w:val="20"/>
          <w:szCs w:val="20"/>
        </w:rPr>
        <w:t xml:space="preserve"> and next steps</w:t>
      </w:r>
      <w:r>
        <w:rPr>
          <w:rFonts w:asciiTheme="majorHAnsi" w:hAnsiTheme="majorHAnsi" w:cstheme="majorHAnsi"/>
          <w:sz w:val="20"/>
          <w:szCs w:val="20"/>
        </w:rPr>
        <w:t>.</w:t>
      </w:r>
    </w:p>
    <w:p w14:paraId="0FC681CB" w14:textId="77777777" w:rsidR="002B06C2" w:rsidRDefault="002B06C2">
      <w:pPr>
        <w:rPr>
          <w:rFonts w:ascii="Didot" w:hAnsi="Didot"/>
          <w:b/>
          <w:bCs/>
          <w:color w:val="4472C4" w:themeColor="accent1"/>
          <w:sz w:val="32"/>
          <w:szCs w:val="32"/>
        </w:rPr>
      </w:pPr>
      <w:r>
        <w:rPr>
          <w:rFonts w:ascii="Didot" w:hAnsi="Didot"/>
          <w:b/>
          <w:bCs/>
          <w:color w:val="4472C4" w:themeColor="accent1"/>
          <w:sz w:val="32"/>
          <w:szCs w:val="32"/>
        </w:rPr>
        <w:br w:type="page"/>
      </w:r>
    </w:p>
    <w:p w14:paraId="6C686C2A" w14:textId="2BDF75E3" w:rsidR="008F1204" w:rsidRPr="00A81A52" w:rsidRDefault="008B477F" w:rsidP="008F1204">
      <w:pPr>
        <w:pStyle w:val="NormalWeb"/>
        <w:spacing w:after="135"/>
        <w:rPr>
          <w:rFonts w:ascii="Didot" w:hAnsi="Didot"/>
          <w:b/>
          <w:bCs/>
          <w:color w:val="4472C4" w:themeColor="accent1"/>
          <w:sz w:val="32"/>
          <w:szCs w:val="32"/>
        </w:rPr>
      </w:pPr>
      <w:r>
        <w:rPr>
          <w:rFonts w:ascii="Didot" w:hAnsi="Didot"/>
          <w:b/>
          <w:bCs/>
          <w:color w:val="4472C4" w:themeColor="accent1"/>
          <w:sz w:val="32"/>
          <w:szCs w:val="32"/>
        </w:rPr>
        <w:lastRenderedPageBreak/>
        <w:t>Sample list of</w:t>
      </w:r>
      <w:r w:rsidR="00263A94">
        <w:rPr>
          <w:rFonts w:ascii="Didot" w:hAnsi="Didot"/>
          <w:b/>
          <w:bCs/>
          <w:color w:val="4472C4" w:themeColor="accent1"/>
          <w:sz w:val="32"/>
          <w:szCs w:val="32"/>
        </w:rPr>
        <w:t xml:space="preserve"> p</w:t>
      </w:r>
      <w:r w:rsidR="008F1204">
        <w:rPr>
          <w:rFonts w:ascii="Didot" w:hAnsi="Didot"/>
          <w:b/>
          <w:bCs/>
          <w:color w:val="4472C4" w:themeColor="accent1"/>
          <w:sz w:val="32"/>
          <w:szCs w:val="32"/>
        </w:rPr>
        <w:t>rior clients</w:t>
      </w:r>
    </w:p>
    <w:p w14:paraId="7D0A7DDE" w14:textId="77777777" w:rsidR="008F1204" w:rsidRDefault="008F1204" w:rsidP="008F1204">
      <w:pPr>
        <w:rPr>
          <w:rFonts w:asciiTheme="majorHAnsi" w:hAnsiTheme="majorHAnsi" w:cstheme="majorHAnsi"/>
          <w:sz w:val="20"/>
          <w:szCs w:val="20"/>
        </w:rPr>
      </w:pPr>
    </w:p>
    <w:tbl>
      <w:tblPr>
        <w:tblW w:w="9560" w:type="dxa"/>
        <w:tblLook w:val="04A0" w:firstRow="1" w:lastRow="0" w:firstColumn="1" w:lastColumn="0" w:noHBand="0" w:noVBand="1"/>
      </w:tblPr>
      <w:tblGrid>
        <w:gridCol w:w="2390"/>
        <w:gridCol w:w="2390"/>
        <w:gridCol w:w="2390"/>
        <w:gridCol w:w="2390"/>
      </w:tblGrid>
      <w:tr w:rsidR="008E47E3" w:rsidRPr="000379FF" w14:paraId="4A0662E9" w14:textId="77777777" w:rsidTr="000379FF">
        <w:trPr>
          <w:trHeight w:val="360"/>
        </w:trPr>
        <w:tc>
          <w:tcPr>
            <w:tcW w:w="2390" w:type="dxa"/>
            <w:tcBorders>
              <w:top w:val="nil"/>
              <w:left w:val="nil"/>
              <w:bottom w:val="nil"/>
              <w:right w:val="nil"/>
            </w:tcBorders>
            <w:noWrap/>
            <w:vAlign w:val="bottom"/>
            <w:hideMark/>
          </w:tcPr>
          <w:p w14:paraId="26A74EC9"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Actuate</w:t>
            </w:r>
          </w:p>
        </w:tc>
        <w:tc>
          <w:tcPr>
            <w:tcW w:w="2390" w:type="dxa"/>
            <w:tcBorders>
              <w:top w:val="nil"/>
              <w:left w:val="nil"/>
              <w:bottom w:val="nil"/>
              <w:right w:val="nil"/>
            </w:tcBorders>
            <w:noWrap/>
            <w:vAlign w:val="bottom"/>
            <w:hideMark/>
          </w:tcPr>
          <w:p w14:paraId="7B8647E3" w14:textId="0867276E"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Equillium</w:t>
            </w:r>
          </w:p>
        </w:tc>
        <w:tc>
          <w:tcPr>
            <w:tcW w:w="2390" w:type="dxa"/>
            <w:tcBorders>
              <w:top w:val="nil"/>
              <w:left w:val="nil"/>
              <w:bottom w:val="nil"/>
              <w:right w:val="nil"/>
            </w:tcBorders>
            <w:noWrap/>
            <w:vAlign w:val="bottom"/>
            <w:hideMark/>
          </w:tcPr>
          <w:p w14:paraId="6980CB9E" w14:textId="24BC3DE0"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MicroTransponder</w:t>
            </w:r>
          </w:p>
        </w:tc>
        <w:tc>
          <w:tcPr>
            <w:tcW w:w="2390" w:type="dxa"/>
            <w:tcBorders>
              <w:top w:val="nil"/>
              <w:left w:val="nil"/>
              <w:bottom w:val="nil"/>
              <w:right w:val="nil"/>
            </w:tcBorders>
            <w:noWrap/>
            <w:vAlign w:val="bottom"/>
            <w:hideMark/>
          </w:tcPr>
          <w:p w14:paraId="0D106BDB" w14:textId="326F563D"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Skye Bioscience</w:t>
            </w:r>
          </w:p>
        </w:tc>
      </w:tr>
      <w:tr w:rsidR="008E47E3" w:rsidRPr="000379FF" w14:paraId="7C6A15AB" w14:textId="77777777" w:rsidTr="000379FF">
        <w:trPr>
          <w:trHeight w:val="360"/>
        </w:trPr>
        <w:tc>
          <w:tcPr>
            <w:tcW w:w="2390" w:type="dxa"/>
            <w:tcBorders>
              <w:top w:val="nil"/>
              <w:left w:val="nil"/>
              <w:bottom w:val="nil"/>
              <w:right w:val="nil"/>
            </w:tcBorders>
            <w:noWrap/>
            <w:vAlign w:val="bottom"/>
            <w:hideMark/>
          </w:tcPr>
          <w:p w14:paraId="720D60E1"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Aethlon</w:t>
            </w:r>
          </w:p>
        </w:tc>
        <w:tc>
          <w:tcPr>
            <w:tcW w:w="2390" w:type="dxa"/>
            <w:tcBorders>
              <w:top w:val="nil"/>
              <w:left w:val="nil"/>
              <w:bottom w:val="nil"/>
              <w:right w:val="nil"/>
            </w:tcBorders>
            <w:noWrap/>
            <w:vAlign w:val="bottom"/>
            <w:hideMark/>
          </w:tcPr>
          <w:p w14:paraId="064A8896" w14:textId="056855CC"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Erasca</w:t>
            </w:r>
          </w:p>
        </w:tc>
        <w:tc>
          <w:tcPr>
            <w:tcW w:w="2390" w:type="dxa"/>
            <w:tcBorders>
              <w:top w:val="nil"/>
              <w:left w:val="nil"/>
              <w:bottom w:val="nil"/>
              <w:right w:val="nil"/>
            </w:tcBorders>
            <w:noWrap/>
            <w:vAlign w:val="bottom"/>
            <w:hideMark/>
          </w:tcPr>
          <w:p w14:paraId="746684E2"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Mimetic Medicines, Inc</w:t>
            </w:r>
          </w:p>
        </w:tc>
        <w:tc>
          <w:tcPr>
            <w:tcW w:w="2390" w:type="dxa"/>
            <w:tcBorders>
              <w:top w:val="nil"/>
              <w:left w:val="nil"/>
              <w:bottom w:val="nil"/>
              <w:right w:val="nil"/>
            </w:tcBorders>
            <w:noWrap/>
            <w:vAlign w:val="bottom"/>
            <w:hideMark/>
          </w:tcPr>
          <w:p w14:paraId="1C04BA41" w14:textId="70FE6205"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Solve Thera</w:t>
            </w:r>
          </w:p>
        </w:tc>
      </w:tr>
      <w:tr w:rsidR="008E47E3" w:rsidRPr="000379FF" w14:paraId="00112681" w14:textId="77777777" w:rsidTr="000379FF">
        <w:trPr>
          <w:trHeight w:val="360"/>
        </w:trPr>
        <w:tc>
          <w:tcPr>
            <w:tcW w:w="2390" w:type="dxa"/>
            <w:tcBorders>
              <w:top w:val="nil"/>
              <w:left w:val="nil"/>
              <w:bottom w:val="nil"/>
              <w:right w:val="nil"/>
            </w:tcBorders>
            <w:noWrap/>
            <w:vAlign w:val="bottom"/>
            <w:hideMark/>
          </w:tcPr>
          <w:p w14:paraId="0CCE3AF5"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Angiocrine</w:t>
            </w:r>
          </w:p>
        </w:tc>
        <w:tc>
          <w:tcPr>
            <w:tcW w:w="2390" w:type="dxa"/>
            <w:tcBorders>
              <w:top w:val="nil"/>
              <w:left w:val="nil"/>
              <w:bottom w:val="nil"/>
              <w:right w:val="nil"/>
            </w:tcBorders>
            <w:noWrap/>
            <w:vAlign w:val="bottom"/>
            <w:hideMark/>
          </w:tcPr>
          <w:p w14:paraId="5EB889F7" w14:textId="3E0FA573"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Evofem</w:t>
            </w:r>
          </w:p>
        </w:tc>
        <w:tc>
          <w:tcPr>
            <w:tcW w:w="2390" w:type="dxa"/>
            <w:tcBorders>
              <w:top w:val="nil"/>
              <w:left w:val="nil"/>
              <w:bottom w:val="nil"/>
              <w:right w:val="nil"/>
            </w:tcBorders>
            <w:noWrap/>
            <w:vAlign w:val="bottom"/>
            <w:hideMark/>
          </w:tcPr>
          <w:p w14:paraId="6891B513" w14:textId="4F9FBDAE"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Moleculin</w:t>
            </w:r>
          </w:p>
        </w:tc>
        <w:tc>
          <w:tcPr>
            <w:tcW w:w="2390" w:type="dxa"/>
            <w:tcBorders>
              <w:top w:val="nil"/>
              <w:left w:val="nil"/>
              <w:bottom w:val="nil"/>
              <w:right w:val="nil"/>
            </w:tcBorders>
            <w:noWrap/>
            <w:vAlign w:val="bottom"/>
            <w:hideMark/>
          </w:tcPr>
          <w:p w14:paraId="38DC8CC5" w14:textId="3685F4B0"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SpyGlass Thera</w:t>
            </w:r>
          </w:p>
        </w:tc>
      </w:tr>
      <w:tr w:rsidR="008E47E3" w:rsidRPr="000379FF" w14:paraId="5C3CB17D" w14:textId="77777777" w:rsidTr="000379FF">
        <w:trPr>
          <w:trHeight w:val="360"/>
        </w:trPr>
        <w:tc>
          <w:tcPr>
            <w:tcW w:w="2390" w:type="dxa"/>
            <w:tcBorders>
              <w:top w:val="nil"/>
              <w:left w:val="nil"/>
              <w:bottom w:val="nil"/>
              <w:right w:val="nil"/>
            </w:tcBorders>
            <w:noWrap/>
            <w:vAlign w:val="bottom"/>
            <w:hideMark/>
          </w:tcPr>
          <w:p w14:paraId="2CFEDA89"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Annovis Bio</w:t>
            </w:r>
          </w:p>
        </w:tc>
        <w:tc>
          <w:tcPr>
            <w:tcW w:w="2390" w:type="dxa"/>
            <w:tcBorders>
              <w:top w:val="nil"/>
              <w:left w:val="nil"/>
              <w:bottom w:val="nil"/>
              <w:right w:val="nil"/>
            </w:tcBorders>
            <w:noWrap/>
            <w:vAlign w:val="bottom"/>
            <w:hideMark/>
          </w:tcPr>
          <w:p w14:paraId="48129209" w14:textId="3DD21F1F"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Evoke</w:t>
            </w:r>
          </w:p>
        </w:tc>
        <w:tc>
          <w:tcPr>
            <w:tcW w:w="2390" w:type="dxa"/>
            <w:tcBorders>
              <w:top w:val="nil"/>
              <w:left w:val="nil"/>
              <w:bottom w:val="nil"/>
              <w:right w:val="nil"/>
            </w:tcBorders>
            <w:noWrap/>
            <w:vAlign w:val="bottom"/>
            <w:hideMark/>
          </w:tcPr>
          <w:p w14:paraId="0B7949B3" w14:textId="57341952"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Oncocyte</w:t>
            </w:r>
          </w:p>
        </w:tc>
        <w:tc>
          <w:tcPr>
            <w:tcW w:w="2390" w:type="dxa"/>
            <w:tcBorders>
              <w:top w:val="nil"/>
              <w:left w:val="nil"/>
              <w:bottom w:val="nil"/>
              <w:right w:val="nil"/>
            </w:tcBorders>
            <w:noWrap/>
            <w:vAlign w:val="bottom"/>
            <w:hideMark/>
          </w:tcPr>
          <w:p w14:paraId="470D171E" w14:textId="451CFB6B"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Tenax</w:t>
            </w:r>
          </w:p>
        </w:tc>
      </w:tr>
      <w:tr w:rsidR="008E47E3" w:rsidRPr="000379FF" w14:paraId="010D0F88" w14:textId="77777777" w:rsidTr="000379FF">
        <w:trPr>
          <w:trHeight w:val="360"/>
        </w:trPr>
        <w:tc>
          <w:tcPr>
            <w:tcW w:w="2390" w:type="dxa"/>
            <w:tcBorders>
              <w:top w:val="nil"/>
              <w:left w:val="nil"/>
              <w:bottom w:val="nil"/>
              <w:right w:val="nil"/>
            </w:tcBorders>
            <w:noWrap/>
            <w:vAlign w:val="bottom"/>
            <w:hideMark/>
          </w:tcPr>
          <w:p w14:paraId="1F71EF37"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Arch</w:t>
            </w:r>
          </w:p>
        </w:tc>
        <w:tc>
          <w:tcPr>
            <w:tcW w:w="2390" w:type="dxa"/>
            <w:tcBorders>
              <w:top w:val="nil"/>
              <w:left w:val="nil"/>
              <w:bottom w:val="nil"/>
              <w:right w:val="nil"/>
            </w:tcBorders>
            <w:noWrap/>
            <w:vAlign w:val="bottom"/>
            <w:hideMark/>
          </w:tcPr>
          <w:p w14:paraId="70F2CC8C" w14:textId="152A6965"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EyePoint</w:t>
            </w:r>
          </w:p>
        </w:tc>
        <w:tc>
          <w:tcPr>
            <w:tcW w:w="2390" w:type="dxa"/>
            <w:tcBorders>
              <w:top w:val="nil"/>
              <w:left w:val="nil"/>
              <w:bottom w:val="nil"/>
              <w:right w:val="nil"/>
            </w:tcBorders>
            <w:noWrap/>
            <w:vAlign w:val="bottom"/>
            <w:hideMark/>
          </w:tcPr>
          <w:p w14:paraId="2D9E0036" w14:textId="595582D8"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Oncolytics</w:t>
            </w:r>
          </w:p>
        </w:tc>
        <w:tc>
          <w:tcPr>
            <w:tcW w:w="2390" w:type="dxa"/>
            <w:tcBorders>
              <w:top w:val="nil"/>
              <w:left w:val="nil"/>
              <w:bottom w:val="nil"/>
              <w:right w:val="nil"/>
            </w:tcBorders>
            <w:noWrap/>
            <w:vAlign w:val="bottom"/>
            <w:hideMark/>
          </w:tcPr>
          <w:p w14:paraId="217ADA15" w14:textId="7831A17C"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Tenpoint</w:t>
            </w:r>
          </w:p>
        </w:tc>
      </w:tr>
      <w:tr w:rsidR="008E47E3" w:rsidRPr="000379FF" w14:paraId="57DE2FA4" w14:textId="77777777" w:rsidTr="000379FF">
        <w:trPr>
          <w:trHeight w:val="360"/>
        </w:trPr>
        <w:tc>
          <w:tcPr>
            <w:tcW w:w="2390" w:type="dxa"/>
            <w:tcBorders>
              <w:top w:val="nil"/>
              <w:left w:val="nil"/>
              <w:bottom w:val="nil"/>
              <w:right w:val="nil"/>
            </w:tcBorders>
            <w:noWrap/>
            <w:vAlign w:val="bottom"/>
            <w:hideMark/>
          </w:tcPr>
          <w:p w14:paraId="6D1974D9"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ARS Pharma</w:t>
            </w:r>
          </w:p>
        </w:tc>
        <w:tc>
          <w:tcPr>
            <w:tcW w:w="2390" w:type="dxa"/>
            <w:tcBorders>
              <w:top w:val="nil"/>
              <w:left w:val="nil"/>
              <w:bottom w:val="nil"/>
              <w:right w:val="nil"/>
            </w:tcBorders>
            <w:noWrap/>
            <w:vAlign w:val="bottom"/>
            <w:hideMark/>
          </w:tcPr>
          <w:p w14:paraId="04A49BA1" w14:textId="228400AB"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FibroBiologics</w:t>
            </w:r>
          </w:p>
        </w:tc>
        <w:tc>
          <w:tcPr>
            <w:tcW w:w="2390" w:type="dxa"/>
            <w:tcBorders>
              <w:top w:val="nil"/>
              <w:left w:val="nil"/>
              <w:bottom w:val="nil"/>
              <w:right w:val="nil"/>
            </w:tcBorders>
            <w:noWrap/>
            <w:vAlign w:val="bottom"/>
            <w:hideMark/>
          </w:tcPr>
          <w:p w14:paraId="39F312A1" w14:textId="39C31B30"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OncoMyx</w:t>
            </w:r>
          </w:p>
        </w:tc>
        <w:tc>
          <w:tcPr>
            <w:tcW w:w="2390" w:type="dxa"/>
            <w:tcBorders>
              <w:top w:val="nil"/>
              <w:left w:val="nil"/>
              <w:bottom w:val="nil"/>
              <w:right w:val="nil"/>
            </w:tcBorders>
            <w:noWrap/>
            <w:vAlign w:val="bottom"/>
            <w:hideMark/>
          </w:tcPr>
          <w:p w14:paraId="3D1E8B99" w14:textId="765FB91B"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Theialife</w:t>
            </w:r>
          </w:p>
        </w:tc>
      </w:tr>
      <w:tr w:rsidR="008E47E3" w:rsidRPr="000379FF" w14:paraId="45457BBA" w14:textId="77777777" w:rsidTr="000379FF">
        <w:trPr>
          <w:trHeight w:val="360"/>
        </w:trPr>
        <w:tc>
          <w:tcPr>
            <w:tcW w:w="2390" w:type="dxa"/>
            <w:tcBorders>
              <w:top w:val="nil"/>
              <w:left w:val="nil"/>
              <w:bottom w:val="nil"/>
              <w:right w:val="nil"/>
            </w:tcBorders>
            <w:noWrap/>
            <w:vAlign w:val="bottom"/>
            <w:hideMark/>
          </w:tcPr>
          <w:p w14:paraId="01D6963A"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Aurinia Pharma</w:t>
            </w:r>
          </w:p>
        </w:tc>
        <w:tc>
          <w:tcPr>
            <w:tcW w:w="2390" w:type="dxa"/>
            <w:tcBorders>
              <w:top w:val="nil"/>
              <w:left w:val="nil"/>
              <w:bottom w:val="nil"/>
              <w:right w:val="nil"/>
            </w:tcBorders>
            <w:noWrap/>
            <w:vAlign w:val="bottom"/>
            <w:hideMark/>
          </w:tcPr>
          <w:p w14:paraId="204DD4E9" w14:textId="6DC92F59"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Genelux</w:t>
            </w:r>
          </w:p>
        </w:tc>
        <w:tc>
          <w:tcPr>
            <w:tcW w:w="2390" w:type="dxa"/>
            <w:tcBorders>
              <w:top w:val="nil"/>
              <w:left w:val="nil"/>
              <w:bottom w:val="nil"/>
              <w:right w:val="nil"/>
            </w:tcBorders>
            <w:noWrap/>
            <w:vAlign w:val="bottom"/>
            <w:hideMark/>
          </w:tcPr>
          <w:p w14:paraId="64EDBE12" w14:textId="25DAD8A4"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Opus Genetics</w:t>
            </w:r>
          </w:p>
        </w:tc>
        <w:tc>
          <w:tcPr>
            <w:tcW w:w="2390" w:type="dxa"/>
            <w:tcBorders>
              <w:top w:val="nil"/>
              <w:left w:val="nil"/>
              <w:bottom w:val="nil"/>
              <w:right w:val="nil"/>
            </w:tcBorders>
            <w:noWrap/>
            <w:vAlign w:val="bottom"/>
            <w:hideMark/>
          </w:tcPr>
          <w:p w14:paraId="0FA197B4" w14:textId="776E7434"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Theriva</w:t>
            </w:r>
          </w:p>
        </w:tc>
      </w:tr>
      <w:tr w:rsidR="008E47E3" w:rsidRPr="000379FF" w14:paraId="74B52E6C" w14:textId="77777777" w:rsidTr="000379FF">
        <w:trPr>
          <w:trHeight w:val="360"/>
        </w:trPr>
        <w:tc>
          <w:tcPr>
            <w:tcW w:w="2390" w:type="dxa"/>
            <w:tcBorders>
              <w:top w:val="nil"/>
              <w:left w:val="nil"/>
              <w:bottom w:val="nil"/>
              <w:right w:val="nil"/>
            </w:tcBorders>
            <w:noWrap/>
            <w:vAlign w:val="bottom"/>
            <w:hideMark/>
          </w:tcPr>
          <w:p w14:paraId="15A87646" w14:textId="662E5141"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Aurion</w:t>
            </w:r>
          </w:p>
        </w:tc>
        <w:tc>
          <w:tcPr>
            <w:tcW w:w="2390" w:type="dxa"/>
            <w:tcBorders>
              <w:top w:val="nil"/>
              <w:left w:val="nil"/>
              <w:bottom w:val="nil"/>
              <w:right w:val="nil"/>
            </w:tcBorders>
            <w:noWrap/>
            <w:vAlign w:val="bottom"/>
            <w:hideMark/>
          </w:tcPr>
          <w:p w14:paraId="7ACE1DE3" w14:textId="28BF3E1D"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Glaukos</w:t>
            </w:r>
          </w:p>
        </w:tc>
        <w:tc>
          <w:tcPr>
            <w:tcW w:w="2390" w:type="dxa"/>
            <w:tcBorders>
              <w:top w:val="nil"/>
              <w:left w:val="nil"/>
              <w:bottom w:val="nil"/>
              <w:right w:val="nil"/>
            </w:tcBorders>
            <w:noWrap/>
            <w:vAlign w:val="bottom"/>
            <w:hideMark/>
          </w:tcPr>
          <w:p w14:paraId="505D9216" w14:textId="6E4F7112"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Ora</w:t>
            </w:r>
          </w:p>
        </w:tc>
        <w:tc>
          <w:tcPr>
            <w:tcW w:w="2390" w:type="dxa"/>
            <w:tcBorders>
              <w:top w:val="nil"/>
              <w:left w:val="nil"/>
              <w:bottom w:val="nil"/>
              <w:right w:val="nil"/>
            </w:tcBorders>
            <w:noWrap/>
            <w:vAlign w:val="bottom"/>
            <w:hideMark/>
          </w:tcPr>
          <w:p w14:paraId="30BA4350" w14:textId="54A2DE87"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Travere Thera</w:t>
            </w:r>
          </w:p>
        </w:tc>
      </w:tr>
      <w:tr w:rsidR="008E47E3" w:rsidRPr="000379FF" w14:paraId="4EE747DF" w14:textId="77777777" w:rsidTr="000379FF">
        <w:trPr>
          <w:trHeight w:val="360"/>
        </w:trPr>
        <w:tc>
          <w:tcPr>
            <w:tcW w:w="2390" w:type="dxa"/>
            <w:tcBorders>
              <w:top w:val="nil"/>
              <w:left w:val="nil"/>
              <w:bottom w:val="nil"/>
              <w:right w:val="nil"/>
            </w:tcBorders>
            <w:noWrap/>
            <w:vAlign w:val="bottom"/>
            <w:hideMark/>
          </w:tcPr>
          <w:p w14:paraId="65C2E7AF" w14:textId="3427B3CF"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Avid</w:t>
            </w:r>
          </w:p>
        </w:tc>
        <w:tc>
          <w:tcPr>
            <w:tcW w:w="2390" w:type="dxa"/>
            <w:tcBorders>
              <w:top w:val="nil"/>
              <w:left w:val="nil"/>
              <w:bottom w:val="nil"/>
              <w:right w:val="nil"/>
            </w:tcBorders>
            <w:noWrap/>
            <w:vAlign w:val="bottom"/>
            <w:hideMark/>
          </w:tcPr>
          <w:p w14:paraId="013F078F" w14:textId="48E447EA"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Health Outlook</w:t>
            </w:r>
          </w:p>
        </w:tc>
        <w:tc>
          <w:tcPr>
            <w:tcW w:w="2390" w:type="dxa"/>
            <w:tcBorders>
              <w:top w:val="nil"/>
              <w:left w:val="nil"/>
              <w:bottom w:val="nil"/>
              <w:right w:val="nil"/>
            </w:tcBorders>
            <w:noWrap/>
            <w:vAlign w:val="bottom"/>
            <w:hideMark/>
          </w:tcPr>
          <w:p w14:paraId="6A11AA66"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Perspective Thera</w:t>
            </w:r>
          </w:p>
        </w:tc>
        <w:tc>
          <w:tcPr>
            <w:tcW w:w="2390" w:type="dxa"/>
            <w:tcBorders>
              <w:top w:val="nil"/>
              <w:left w:val="nil"/>
              <w:bottom w:val="nil"/>
              <w:right w:val="nil"/>
            </w:tcBorders>
            <w:noWrap/>
            <w:vAlign w:val="bottom"/>
            <w:hideMark/>
          </w:tcPr>
          <w:p w14:paraId="42C306C3" w14:textId="6A78F361"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TuHura</w:t>
            </w:r>
          </w:p>
        </w:tc>
      </w:tr>
      <w:tr w:rsidR="008E47E3" w:rsidRPr="000379FF" w14:paraId="078FB51D" w14:textId="77777777" w:rsidTr="000379FF">
        <w:trPr>
          <w:trHeight w:val="360"/>
        </w:trPr>
        <w:tc>
          <w:tcPr>
            <w:tcW w:w="2390" w:type="dxa"/>
            <w:tcBorders>
              <w:top w:val="nil"/>
              <w:left w:val="nil"/>
              <w:bottom w:val="nil"/>
              <w:right w:val="nil"/>
            </w:tcBorders>
            <w:noWrap/>
            <w:vAlign w:val="bottom"/>
            <w:hideMark/>
          </w:tcPr>
          <w:p w14:paraId="19BD1878"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Biotheyrx</w:t>
            </w:r>
          </w:p>
        </w:tc>
        <w:tc>
          <w:tcPr>
            <w:tcW w:w="2390" w:type="dxa"/>
            <w:tcBorders>
              <w:top w:val="nil"/>
              <w:left w:val="nil"/>
              <w:bottom w:val="nil"/>
              <w:right w:val="nil"/>
            </w:tcBorders>
            <w:noWrap/>
            <w:vAlign w:val="bottom"/>
            <w:hideMark/>
          </w:tcPr>
          <w:p w14:paraId="06608100" w14:textId="064B5019"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Hepion</w:t>
            </w:r>
          </w:p>
        </w:tc>
        <w:tc>
          <w:tcPr>
            <w:tcW w:w="2390" w:type="dxa"/>
            <w:tcBorders>
              <w:top w:val="nil"/>
              <w:left w:val="nil"/>
              <w:bottom w:val="nil"/>
              <w:right w:val="nil"/>
            </w:tcBorders>
            <w:noWrap/>
            <w:vAlign w:val="bottom"/>
            <w:hideMark/>
          </w:tcPr>
          <w:p w14:paraId="3F418277"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proofErr w:type="gramStart"/>
            <w:r w:rsidRPr="000379FF">
              <w:rPr>
                <w:rFonts w:ascii="Calibri Light" w:eastAsia="Times New Roman" w:hAnsi="Calibri Light" w:cs="Calibri Light"/>
                <w:color w:val="000000"/>
                <w:sz w:val="20"/>
                <w:szCs w:val="20"/>
              </w:rPr>
              <w:t>Plus</w:t>
            </w:r>
            <w:proofErr w:type="gramEnd"/>
            <w:r w:rsidRPr="000379FF">
              <w:rPr>
                <w:rFonts w:ascii="Calibri Light" w:eastAsia="Times New Roman" w:hAnsi="Calibri Light" w:cs="Calibri Light"/>
                <w:color w:val="000000"/>
                <w:sz w:val="20"/>
                <w:szCs w:val="20"/>
              </w:rPr>
              <w:t xml:space="preserve"> Thera</w:t>
            </w:r>
          </w:p>
        </w:tc>
        <w:tc>
          <w:tcPr>
            <w:tcW w:w="2390" w:type="dxa"/>
            <w:tcBorders>
              <w:top w:val="nil"/>
              <w:left w:val="nil"/>
              <w:bottom w:val="nil"/>
              <w:right w:val="nil"/>
            </w:tcBorders>
            <w:noWrap/>
            <w:vAlign w:val="bottom"/>
            <w:hideMark/>
          </w:tcPr>
          <w:p w14:paraId="4F36E22D" w14:textId="5F6A2262"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Turn Bio</w:t>
            </w:r>
          </w:p>
        </w:tc>
      </w:tr>
      <w:tr w:rsidR="008E47E3" w:rsidRPr="000379FF" w14:paraId="38735CCB" w14:textId="77777777" w:rsidTr="000379FF">
        <w:trPr>
          <w:trHeight w:val="360"/>
        </w:trPr>
        <w:tc>
          <w:tcPr>
            <w:tcW w:w="2390" w:type="dxa"/>
            <w:tcBorders>
              <w:top w:val="nil"/>
              <w:left w:val="nil"/>
              <w:bottom w:val="nil"/>
              <w:right w:val="nil"/>
            </w:tcBorders>
            <w:noWrap/>
            <w:vAlign w:val="bottom"/>
            <w:hideMark/>
          </w:tcPr>
          <w:p w14:paraId="2F23C811"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BlueSphere Bio</w:t>
            </w:r>
          </w:p>
        </w:tc>
        <w:tc>
          <w:tcPr>
            <w:tcW w:w="2390" w:type="dxa"/>
            <w:tcBorders>
              <w:top w:val="nil"/>
              <w:left w:val="nil"/>
              <w:bottom w:val="nil"/>
              <w:right w:val="nil"/>
            </w:tcBorders>
            <w:noWrap/>
            <w:vAlign w:val="bottom"/>
            <w:hideMark/>
          </w:tcPr>
          <w:p w14:paraId="0ABF064D" w14:textId="3FF10B84"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iBio</w:t>
            </w:r>
          </w:p>
        </w:tc>
        <w:tc>
          <w:tcPr>
            <w:tcW w:w="2390" w:type="dxa"/>
            <w:tcBorders>
              <w:top w:val="nil"/>
              <w:left w:val="nil"/>
              <w:bottom w:val="nil"/>
              <w:right w:val="nil"/>
            </w:tcBorders>
            <w:noWrap/>
            <w:vAlign w:val="bottom"/>
            <w:hideMark/>
          </w:tcPr>
          <w:p w14:paraId="5D616E72"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Praesidium</w:t>
            </w:r>
          </w:p>
        </w:tc>
        <w:tc>
          <w:tcPr>
            <w:tcW w:w="2390" w:type="dxa"/>
            <w:tcBorders>
              <w:top w:val="nil"/>
              <w:left w:val="nil"/>
              <w:bottom w:val="nil"/>
              <w:right w:val="nil"/>
            </w:tcBorders>
            <w:noWrap/>
            <w:vAlign w:val="bottom"/>
            <w:hideMark/>
          </w:tcPr>
          <w:p w14:paraId="7DD6E746" w14:textId="1B675C11"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Unity</w:t>
            </w:r>
          </w:p>
        </w:tc>
      </w:tr>
      <w:tr w:rsidR="008E47E3" w:rsidRPr="000379FF" w14:paraId="78AA5721" w14:textId="77777777" w:rsidTr="000379FF">
        <w:trPr>
          <w:trHeight w:val="360"/>
        </w:trPr>
        <w:tc>
          <w:tcPr>
            <w:tcW w:w="2390" w:type="dxa"/>
            <w:tcBorders>
              <w:top w:val="nil"/>
              <w:left w:val="nil"/>
              <w:bottom w:val="nil"/>
              <w:right w:val="nil"/>
            </w:tcBorders>
            <w:noWrap/>
            <w:vAlign w:val="bottom"/>
            <w:hideMark/>
          </w:tcPr>
          <w:p w14:paraId="3CBBB508"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Caelux</w:t>
            </w:r>
          </w:p>
        </w:tc>
        <w:tc>
          <w:tcPr>
            <w:tcW w:w="2390" w:type="dxa"/>
            <w:tcBorders>
              <w:top w:val="nil"/>
              <w:left w:val="nil"/>
              <w:bottom w:val="nil"/>
              <w:right w:val="nil"/>
            </w:tcBorders>
            <w:noWrap/>
            <w:vAlign w:val="bottom"/>
            <w:hideMark/>
          </w:tcPr>
          <w:p w14:paraId="081CD338"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International Genomics Consortium</w:t>
            </w:r>
          </w:p>
        </w:tc>
        <w:tc>
          <w:tcPr>
            <w:tcW w:w="2390" w:type="dxa"/>
            <w:tcBorders>
              <w:top w:val="nil"/>
              <w:left w:val="nil"/>
              <w:bottom w:val="nil"/>
              <w:right w:val="nil"/>
            </w:tcBorders>
            <w:noWrap/>
            <w:vAlign w:val="bottom"/>
            <w:hideMark/>
          </w:tcPr>
          <w:p w14:paraId="54DFC09E"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Protego</w:t>
            </w:r>
          </w:p>
        </w:tc>
        <w:tc>
          <w:tcPr>
            <w:tcW w:w="2390" w:type="dxa"/>
            <w:tcBorders>
              <w:top w:val="nil"/>
              <w:left w:val="nil"/>
              <w:bottom w:val="nil"/>
              <w:right w:val="nil"/>
            </w:tcBorders>
            <w:noWrap/>
            <w:vAlign w:val="bottom"/>
            <w:hideMark/>
          </w:tcPr>
          <w:p w14:paraId="26ED4CDC" w14:textId="32639ECD"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Viewpoint Molecular</w:t>
            </w:r>
          </w:p>
        </w:tc>
      </w:tr>
      <w:tr w:rsidR="008E47E3" w:rsidRPr="000379FF" w14:paraId="70A5EFCA" w14:textId="77777777" w:rsidTr="000379FF">
        <w:trPr>
          <w:trHeight w:val="360"/>
        </w:trPr>
        <w:tc>
          <w:tcPr>
            <w:tcW w:w="2390" w:type="dxa"/>
            <w:tcBorders>
              <w:top w:val="nil"/>
              <w:left w:val="nil"/>
              <w:bottom w:val="nil"/>
              <w:right w:val="nil"/>
            </w:tcBorders>
            <w:noWrap/>
            <w:vAlign w:val="bottom"/>
            <w:hideMark/>
          </w:tcPr>
          <w:p w14:paraId="39DD8A92" w14:textId="6C9607D7"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Connect Biopharma</w:t>
            </w:r>
          </w:p>
        </w:tc>
        <w:tc>
          <w:tcPr>
            <w:tcW w:w="2390" w:type="dxa"/>
            <w:tcBorders>
              <w:top w:val="nil"/>
              <w:left w:val="nil"/>
              <w:bottom w:val="nil"/>
              <w:right w:val="nil"/>
            </w:tcBorders>
            <w:noWrap/>
            <w:vAlign w:val="bottom"/>
            <w:hideMark/>
          </w:tcPr>
          <w:p w14:paraId="0319C701" w14:textId="6BDB6154"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Kala</w:t>
            </w:r>
          </w:p>
        </w:tc>
        <w:tc>
          <w:tcPr>
            <w:tcW w:w="2390" w:type="dxa"/>
            <w:tcBorders>
              <w:top w:val="nil"/>
              <w:left w:val="nil"/>
              <w:bottom w:val="nil"/>
              <w:right w:val="nil"/>
            </w:tcBorders>
            <w:noWrap/>
            <w:vAlign w:val="bottom"/>
            <w:hideMark/>
          </w:tcPr>
          <w:p w14:paraId="0EF41B2D"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Quanta Thera</w:t>
            </w:r>
          </w:p>
        </w:tc>
        <w:tc>
          <w:tcPr>
            <w:tcW w:w="2390" w:type="dxa"/>
            <w:tcBorders>
              <w:top w:val="nil"/>
              <w:left w:val="nil"/>
              <w:bottom w:val="nil"/>
              <w:right w:val="nil"/>
            </w:tcBorders>
            <w:noWrap/>
            <w:vAlign w:val="bottom"/>
            <w:hideMark/>
          </w:tcPr>
          <w:p w14:paraId="45C34E76" w14:textId="4BFF70B8"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Visby Medical</w:t>
            </w:r>
          </w:p>
        </w:tc>
      </w:tr>
      <w:tr w:rsidR="008E47E3" w:rsidRPr="000379FF" w14:paraId="4C2A45A5" w14:textId="77777777" w:rsidTr="000379FF">
        <w:trPr>
          <w:trHeight w:val="360"/>
        </w:trPr>
        <w:tc>
          <w:tcPr>
            <w:tcW w:w="2390" w:type="dxa"/>
            <w:tcBorders>
              <w:top w:val="nil"/>
              <w:left w:val="nil"/>
              <w:bottom w:val="nil"/>
              <w:right w:val="nil"/>
            </w:tcBorders>
            <w:noWrap/>
            <w:vAlign w:val="bottom"/>
            <w:hideMark/>
          </w:tcPr>
          <w:p w14:paraId="28ECF9F1" w14:textId="4BA9E566"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Cristcol</w:t>
            </w:r>
          </w:p>
        </w:tc>
        <w:tc>
          <w:tcPr>
            <w:tcW w:w="2390" w:type="dxa"/>
            <w:tcBorders>
              <w:top w:val="nil"/>
              <w:left w:val="nil"/>
              <w:bottom w:val="nil"/>
              <w:right w:val="nil"/>
            </w:tcBorders>
            <w:noWrap/>
            <w:vAlign w:val="bottom"/>
            <w:hideMark/>
          </w:tcPr>
          <w:p w14:paraId="263D5936" w14:textId="53DABF00"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Kiora Pharma</w:t>
            </w:r>
          </w:p>
        </w:tc>
        <w:tc>
          <w:tcPr>
            <w:tcW w:w="2390" w:type="dxa"/>
            <w:tcBorders>
              <w:top w:val="nil"/>
              <w:left w:val="nil"/>
              <w:bottom w:val="nil"/>
              <w:right w:val="nil"/>
            </w:tcBorders>
            <w:noWrap/>
            <w:vAlign w:val="bottom"/>
            <w:hideMark/>
          </w:tcPr>
          <w:p w14:paraId="1A942B1C" w14:textId="77777777" w:rsidR="008E47E3" w:rsidRPr="000379FF" w:rsidRDefault="008E47E3" w:rsidP="008E47E3">
            <w:pPr>
              <w:spacing w:after="0" w:line="240" w:lineRule="auto"/>
              <w:rPr>
                <w:rFonts w:ascii="Calibri Light" w:eastAsia="Times New Roman" w:hAnsi="Calibri Light" w:cs="Calibri Light"/>
                <w:color w:val="000000"/>
                <w:sz w:val="20"/>
                <w:szCs w:val="20"/>
              </w:rPr>
            </w:pPr>
            <w:r w:rsidRPr="000379FF">
              <w:rPr>
                <w:rFonts w:ascii="Calibri Light" w:eastAsia="Times New Roman" w:hAnsi="Calibri Light" w:cs="Calibri Light"/>
                <w:color w:val="000000"/>
                <w:sz w:val="20"/>
                <w:szCs w:val="20"/>
              </w:rPr>
              <w:t>Reference Medical</w:t>
            </w:r>
          </w:p>
        </w:tc>
        <w:tc>
          <w:tcPr>
            <w:tcW w:w="2390" w:type="dxa"/>
            <w:tcBorders>
              <w:top w:val="nil"/>
              <w:left w:val="nil"/>
              <w:bottom w:val="nil"/>
              <w:right w:val="nil"/>
            </w:tcBorders>
            <w:noWrap/>
            <w:vAlign w:val="bottom"/>
            <w:hideMark/>
          </w:tcPr>
          <w:p w14:paraId="41469761" w14:textId="7EB29AA6" w:rsidR="008E47E3" w:rsidRPr="000379FF" w:rsidRDefault="008E47E3" w:rsidP="008E47E3">
            <w:pPr>
              <w:spacing w:after="0" w:line="240" w:lineRule="auto"/>
              <w:rPr>
                <w:rFonts w:ascii="Calibri Light" w:eastAsia="Times New Roman" w:hAnsi="Calibri Light" w:cs="Calibri Light"/>
                <w:color w:val="000000"/>
                <w:sz w:val="20"/>
                <w:szCs w:val="20"/>
              </w:rPr>
            </w:pPr>
            <w:r>
              <w:rPr>
                <w:rFonts w:ascii="Calibri Light" w:hAnsi="Calibri Light" w:cs="Calibri Light"/>
                <w:color w:val="000000"/>
                <w:sz w:val="20"/>
                <w:szCs w:val="20"/>
              </w:rPr>
              <w:t>VivoSim</w:t>
            </w:r>
          </w:p>
        </w:tc>
      </w:tr>
    </w:tbl>
    <w:p w14:paraId="168B9C2C" w14:textId="6DDD5B9E" w:rsidR="008F1204" w:rsidRDefault="008F1204" w:rsidP="008F1204">
      <w:pPr>
        <w:rPr>
          <w:rFonts w:asciiTheme="majorHAnsi" w:hAnsiTheme="majorHAnsi" w:cstheme="majorHAnsi"/>
          <w:b/>
          <w:bCs/>
          <w:color w:val="4472C4" w:themeColor="accent1"/>
          <w:sz w:val="20"/>
          <w:szCs w:val="20"/>
        </w:rPr>
      </w:pPr>
    </w:p>
    <w:p w14:paraId="04F2F478" w14:textId="77777777" w:rsidR="008F1204" w:rsidRDefault="008F1204" w:rsidP="008F1204">
      <w:pPr>
        <w:pStyle w:val="NormalWeb"/>
        <w:spacing w:after="135"/>
        <w:rPr>
          <w:rFonts w:ascii="Didot" w:hAnsi="Didot"/>
          <w:b/>
          <w:bCs/>
          <w:color w:val="4472C4" w:themeColor="accent1"/>
          <w:sz w:val="32"/>
          <w:szCs w:val="32"/>
        </w:rPr>
      </w:pPr>
    </w:p>
    <w:p w14:paraId="2BAFD80F" w14:textId="40A590C6" w:rsidR="00524860" w:rsidRPr="00A573FA" w:rsidRDefault="00524860" w:rsidP="00524860">
      <w:pPr>
        <w:pStyle w:val="NormalWeb"/>
        <w:spacing w:after="135"/>
        <w:rPr>
          <w:rFonts w:ascii="Didot" w:hAnsi="Didot"/>
          <w:b/>
          <w:bCs/>
          <w:color w:val="4472C4" w:themeColor="accent1"/>
          <w:sz w:val="32"/>
          <w:szCs w:val="32"/>
        </w:rPr>
      </w:pPr>
      <w:r w:rsidRPr="00A573FA">
        <w:rPr>
          <w:rFonts w:ascii="Didot" w:hAnsi="Didot"/>
          <w:b/>
          <w:bCs/>
          <w:color w:val="4472C4" w:themeColor="accent1"/>
          <w:sz w:val="32"/>
          <w:szCs w:val="32"/>
        </w:rPr>
        <w:t>How to contact us</w:t>
      </w:r>
    </w:p>
    <w:p w14:paraId="140081EE" w14:textId="77777777" w:rsidR="00524860" w:rsidRPr="00D94590" w:rsidRDefault="00524860" w:rsidP="00D9459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For more information, please contact us at:</w:t>
      </w:r>
    </w:p>
    <w:p w14:paraId="618213B4" w14:textId="77777777" w:rsidR="00D94590" w:rsidRDefault="00D94590" w:rsidP="00524860">
      <w:pPr>
        <w:pStyle w:val="NormalWeb"/>
        <w:rPr>
          <w:rFonts w:asciiTheme="majorHAnsi" w:hAnsiTheme="majorHAnsi" w:cstheme="majorHAnsi"/>
          <w:color w:val="000000"/>
          <w:sz w:val="20"/>
          <w:szCs w:val="20"/>
        </w:rPr>
      </w:pPr>
    </w:p>
    <w:p w14:paraId="72855010" w14:textId="7190F7DF"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Jeremy Anderson</w:t>
      </w:r>
    </w:p>
    <w:p w14:paraId="4F169E48" w14:textId="77777777"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Managing Partner</w:t>
      </w:r>
    </w:p>
    <w:p w14:paraId="3483ABE1" w14:textId="36ABA2CA"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1155 Camino Del Mar</w:t>
      </w:r>
      <w:r w:rsidR="00D94590">
        <w:rPr>
          <w:rFonts w:asciiTheme="majorHAnsi" w:hAnsiTheme="majorHAnsi" w:cstheme="majorHAnsi"/>
          <w:color w:val="000000"/>
          <w:sz w:val="20"/>
          <w:szCs w:val="20"/>
        </w:rPr>
        <w:t xml:space="preserve">, </w:t>
      </w:r>
      <w:r w:rsidRPr="00D94590">
        <w:rPr>
          <w:rFonts w:asciiTheme="majorHAnsi" w:hAnsiTheme="majorHAnsi" w:cstheme="majorHAnsi"/>
          <w:color w:val="000000"/>
          <w:sz w:val="20"/>
          <w:szCs w:val="20"/>
        </w:rPr>
        <w:t>Suite 143</w:t>
      </w:r>
    </w:p>
    <w:p w14:paraId="1804D032" w14:textId="77777777"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Del Mar, CA 92014</w:t>
      </w:r>
    </w:p>
    <w:p w14:paraId="7F5D7663" w14:textId="44590FAE" w:rsidR="00524860" w:rsidRPr="00D94590" w:rsidRDefault="00D94590" w:rsidP="00524860">
      <w:pPr>
        <w:pStyle w:val="NormalWeb"/>
        <w:rPr>
          <w:rFonts w:asciiTheme="majorHAnsi" w:hAnsiTheme="majorHAnsi" w:cstheme="majorHAnsi"/>
          <w:color w:val="000000"/>
          <w:sz w:val="20"/>
          <w:szCs w:val="20"/>
        </w:rPr>
      </w:pPr>
      <w:r>
        <w:rPr>
          <w:rFonts w:asciiTheme="majorHAnsi" w:hAnsiTheme="majorHAnsi" w:cstheme="majorHAnsi"/>
          <w:color w:val="000000"/>
          <w:sz w:val="20"/>
          <w:szCs w:val="20"/>
        </w:rPr>
        <w:t xml:space="preserve">Cell: </w:t>
      </w:r>
      <w:r w:rsidR="00524860" w:rsidRPr="00D94590">
        <w:rPr>
          <w:rFonts w:asciiTheme="majorHAnsi" w:hAnsiTheme="majorHAnsi" w:cstheme="majorHAnsi"/>
          <w:color w:val="000000"/>
          <w:sz w:val="20"/>
          <w:szCs w:val="20"/>
        </w:rPr>
        <w:t>858-337-0429</w:t>
      </w:r>
    </w:p>
    <w:p w14:paraId="08F149FB" w14:textId="436BF462" w:rsidR="00524860" w:rsidRPr="00D94590" w:rsidRDefault="00D94590" w:rsidP="00524860">
      <w:pPr>
        <w:pStyle w:val="NormalWeb"/>
        <w:rPr>
          <w:rFonts w:asciiTheme="majorHAnsi" w:hAnsiTheme="majorHAnsi" w:cstheme="majorHAnsi"/>
          <w:color w:val="000000"/>
          <w:sz w:val="20"/>
          <w:szCs w:val="20"/>
        </w:rPr>
      </w:pPr>
      <w:r>
        <w:rPr>
          <w:rFonts w:asciiTheme="majorHAnsi" w:hAnsiTheme="majorHAnsi" w:cstheme="majorHAnsi"/>
          <w:color w:val="000000"/>
          <w:sz w:val="20"/>
          <w:szCs w:val="20"/>
        </w:rPr>
        <w:t xml:space="preserve">Email:  </w:t>
      </w:r>
      <w:r w:rsidR="00524860" w:rsidRPr="00D94590">
        <w:rPr>
          <w:rFonts w:asciiTheme="majorHAnsi" w:hAnsiTheme="majorHAnsi" w:cstheme="majorHAnsi"/>
          <w:color w:val="000000"/>
          <w:sz w:val="20"/>
          <w:szCs w:val="20"/>
        </w:rPr>
        <w:t>jeremy@andersonpay.com</w:t>
      </w:r>
    </w:p>
    <w:sectPr w:rsidR="00524860" w:rsidRPr="00D94590" w:rsidSect="00C87F7A">
      <w:headerReference w:type="default" r:id="rId11"/>
      <w:pgSz w:w="12240" w:h="15840"/>
      <w:pgMar w:top="1440"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460B5" w14:textId="77777777" w:rsidR="00897DC4" w:rsidRDefault="00897DC4" w:rsidP="00A573FA">
      <w:pPr>
        <w:spacing w:after="0" w:line="240" w:lineRule="auto"/>
      </w:pPr>
      <w:r>
        <w:separator/>
      </w:r>
    </w:p>
  </w:endnote>
  <w:endnote w:type="continuationSeparator" w:id="0">
    <w:p w14:paraId="49809111" w14:textId="77777777" w:rsidR="00897DC4" w:rsidRDefault="00897DC4" w:rsidP="00A57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dot">
    <w:altName w:val="Cambria"/>
    <w:charset w:val="B1"/>
    <w:family w:val="auto"/>
    <w:pitch w:val="variable"/>
    <w:sig w:usb0="80000867" w:usb1="00000000" w:usb2="00000000" w:usb3="00000000" w:csb0="000001FB" w:csb1="00000000"/>
  </w:font>
  <w:font w:name="Calibri Light">
    <w:panose1 w:val="020F0302020204030204"/>
    <w:charset w:val="00"/>
    <w:family w:val="swiss"/>
    <w:pitch w:val="variable"/>
    <w:sig w:usb0="E4002EFF" w:usb1="C200247B" w:usb2="00000009" w:usb3="00000000" w:csb0="000001FF" w:csb1="00000000"/>
  </w:font>
  <w:font w:name="Baskerville">
    <w:altName w:val="Baskerville Old Face"/>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00C6" w14:textId="77777777" w:rsidR="00897DC4" w:rsidRDefault="00897DC4" w:rsidP="00A573FA">
      <w:pPr>
        <w:spacing w:after="0" w:line="240" w:lineRule="auto"/>
      </w:pPr>
      <w:r>
        <w:separator/>
      </w:r>
    </w:p>
  </w:footnote>
  <w:footnote w:type="continuationSeparator" w:id="0">
    <w:p w14:paraId="2CDEB9B7" w14:textId="77777777" w:rsidR="00897DC4" w:rsidRDefault="00897DC4" w:rsidP="00A57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1CFE" w14:textId="77777777" w:rsidR="00A573FA" w:rsidRPr="00E005F5" w:rsidRDefault="00A573FA" w:rsidP="00A573FA">
    <w:pPr>
      <w:pStyle w:val="NormalWeb"/>
      <w:spacing w:after="180"/>
      <w:jc w:val="right"/>
      <w:rPr>
        <w:rFonts w:ascii="Didot" w:hAnsi="Didot"/>
        <w:color w:val="4472C4" w:themeColor="accent1"/>
        <w:sz w:val="24"/>
        <w:szCs w:val="24"/>
      </w:rPr>
    </w:pPr>
    <w:r w:rsidRPr="00A573FA">
      <w:rPr>
        <w:rFonts w:ascii="Didot" w:hAnsi="Didot"/>
        <w:color w:val="4472C4" w:themeColor="accent1"/>
        <w:sz w:val="36"/>
        <w:szCs w:val="36"/>
      </w:rPr>
      <w:t>Anderson Pay Advisors</w:t>
    </w:r>
    <w:r w:rsidRPr="00E005F5">
      <w:rPr>
        <w:rFonts w:ascii="Didot" w:hAnsi="Didot"/>
        <w:color w:val="4472C4" w:themeColor="accent1"/>
        <w:sz w:val="24"/>
        <w:szCs w:val="24"/>
      </w:rPr>
      <w:t xml:space="preserve"> </w:t>
    </w:r>
    <w:r w:rsidRPr="00A573FA">
      <w:rPr>
        <w:rFonts w:ascii="Didot" w:hAnsi="Didot"/>
        <w:color w:val="4472C4" w:themeColor="accent1"/>
        <w:sz w:val="20"/>
        <w:szCs w:val="20"/>
      </w:rPr>
      <w:t>LLC</w:t>
    </w:r>
  </w:p>
  <w:p w14:paraId="51E19C2C" w14:textId="77777777" w:rsidR="00BC5A7C" w:rsidRPr="00853670" w:rsidRDefault="00BC5A7C" w:rsidP="00BC5A7C">
    <w:pPr>
      <w:pStyle w:val="NormalWeb"/>
      <w:jc w:val="right"/>
      <w:rPr>
        <w:sz w:val="16"/>
        <w:szCs w:val="16"/>
      </w:rPr>
    </w:pPr>
    <w:r w:rsidRPr="00853670">
      <w:rPr>
        <w:rFonts w:ascii="Baskerville" w:hAnsi="Baskerville"/>
        <w:color w:val="000000"/>
        <w:sz w:val="16"/>
        <w:szCs w:val="16"/>
      </w:rPr>
      <w:t>Jeremy Anderson</w:t>
    </w:r>
  </w:p>
  <w:p w14:paraId="57313653" w14:textId="3DD04F38" w:rsidR="00BC5A7C" w:rsidRPr="00853670" w:rsidRDefault="00BC5A7C" w:rsidP="00BC5A7C">
    <w:pPr>
      <w:pStyle w:val="NormalWeb"/>
      <w:jc w:val="right"/>
      <w:rPr>
        <w:sz w:val="16"/>
        <w:szCs w:val="16"/>
      </w:rPr>
    </w:pPr>
    <w:r w:rsidRPr="00853670">
      <w:rPr>
        <w:rFonts w:ascii="Baskerville" w:hAnsi="Baskerville"/>
        <w:color w:val="000000"/>
        <w:sz w:val="16"/>
        <w:szCs w:val="16"/>
      </w:rPr>
      <w:t>Managing Partner</w:t>
    </w:r>
  </w:p>
  <w:p w14:paraId="15FDEF0A" w14:textId="77777777" w:rsidR="00BC5A7C" w:rsidRPr="00853670" w:rsidRDefault="00BC5A7C" w:rsidP="00BC5A7C">
    <w:pPr>
      <w:pStyle w:val="NormalWeb"/>
      <w:jc w:val="right"/>
      <w:rPr>
        <w:rFonts w:ascii="Baskerville" w:hAnsi="Baskerville"/>
        <w:color w:val="000000"/>
        <w:sz w:val="16"/>
        <w:szCs w:val="16"/>
      </w:rPr>
    </w:pPr>
    <w:r w:rsidRPr="00853670">
      <w:rPr>
        <w:rFonts w:ascii="Baskerville" w:hAnsi="Baskerville"/>
        <w:color w:val="000000"/>
        <w:sz w:val="16"/>
        <w:szCs w:val="16"/>
      </w:rPr>
      <w:t>858-337-0429</w:t>
    </w:r>
  </w:p>
  <w:p w14:paraId="49C800CA" w14:textId="77777777" w:rsidR="00BC5A7C" w:rsidRPr="00853670" w:rsidRDefault="00BC5A7C" w:rsidP="00BC5A7C">
    <w:pPr>
      <w:pStyle w:val="NormalWeb"/>
      <w:jc w:val="right"/>
      <w:rPr>
        <w:rFonts w:ascii="Baskerville" w:hAnsi="Baskerville"/>
        <w:color w:val="000000"/>
        <w:sz w:val="16"/>
        <w:szCs w:val="16"/>
      </w:rPr>
    </w:pPr>
    <w:r w:rsidRPr="00853670">
      <w:rPr>
        <w:rFonts w:ascii="Baskerville" w:hAnsi="Baskerville"/>
        <w:color w:val="000000"/>
        <w:sz w:val="16"/>
        <w:szCs w:val="16"/>
      </w:rPr>
      <w:t>jeremy@andersonpay.com</w:t>
    </w:r>
  </w:p>
  <w:p w14:paraId="75269D4A" w14:textId="77777777" w:rsidR="00BC5A7C" w:rsidRDefault="00BC5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A0423"/>
    <w:multiLevelType w:val="hybridMultilevel"/>
    <w:tmpl w:val="CBEC9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B248A"/>
    <w:multiLevelType w:val="hybridMultilevel"/>
    <w:tmpl w:val="E916B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122DCF"/>
    <w:multiLevelType w:val="hybridMultilevel"/>
    <w:tmpl w:val="2E168ED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1D16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AE34BC"/>
    <w:multiLevelType w:val="hybridMultilevel"/>
    <w:tmpl w:val="1ABCEAD2"/>
    <w:lvl w:ilvl="0" w:tplc="E000EA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2F0FB7"/>
    <w:multiLevelType w:val="hybridMultilevel"/>
    <w:tmpl w:val="0A9A2552"/>
    <w:lvl w:ilvl="0" w:tplc="0E121FFE">
      <w:start w:val="1"/>
      <w:numFmt w:val="bullet"/>
      <w:lvlText w:val="◦"/>
      <w:lvlJc w:val="left"/>
      <w:pPr>
        <w:tabs>
          <w:tab w:val="num" w:pos="720"/>
        </w:tabs>
        <w:ind w:left="720" w:hanging="360"/>
      </w:pPr>
      <w:rPr>
        <w:rFonts w:ascii="Calibri" w:hAnsi="Calibri" w:hint="default"/>
      </w:rPr>
    </w:lvl>
    <w:lvl w:ilvl="1" w:tplc="BADAF7B0">
      <w:start w:val="1"/>
      <w:numFmt w:val="bullet"/>
      <w:lvlText w:val="◦"/>
      <w:lvlJc w:val="left"/>
      <w:pPr>
        <w:tabs>
          <w:tab w:val="num" w:pos="1440"/>
        </w:tabs>
        <w:ind w:left="1440" w:hanging="360"/>
      </w:pPr>
      <w:rPr>
        <w:rFonts w:ascii="Calibri" w:hAnsi="Calibri" w:hint="default"/>
      </w:rPr>
    </w:lvl>
    <w:lvl w:ilvl="2" w:tplc="A02670BE" w:tentative="1">
      <w:start w:val="1"/>
      <w:numFmt w:val="bullet"/>
      <w:lvlText w:val="◦"/>
      <w:lvlJc w:val="left"/>
      <w:pPr>
        <w:tabs>
          <w:tab w:val="num" w:pos="2160"/>
        </w:tabs>
        <w:ind w:left="2160" w:hanging="360"/>
      </w:pPr>
      <w:rPr>
        <w:rFonts w:ascii="Calibri" w:hAnsi="Calibri" w:hint="default"/>
      </w:rPr>
    </w:lvl>
    <w:lvl w:ilvl="3" w:tplc="94E48686" w:tentative="1">
      <w:start w:val="1"/>
      <w:numFmt w:val="bullet"/>
      <w:lvlText w:val="◦"/>
      <w:lvlJc w:val="left"/>
      <w:pPr>
        <w:tabs>
          <w:tab w:val="num" w:pos="2880"/>
        </w:tabs>
        <w:ind w:left="2880" w:hanging="360"/>
      </w:pPr>
      <w:rPr>
        <w:rFonts w:ascii="Calibri" w:hAnsi="Calibri" w:hint="default"/>
      </w:rPr>
    </w:lvl>
    <w:lvl w:ilvl="4" w:tplc="31C01190" w:tentative="1">
      <w:start w:val="1"/>
      <w:numFmt w:val="bullet"/>
      <w:lvlText w:val="◦"/>
      <w:lvlJc w:val="left"/>
      <w:pPr>
        <w:tabs>
          <w:tab w:val="num" w:pos="3600"/>
        </w:tabs>
        <w:ind w:left="3600" w:hanging="360"/>
      </w:pPr>
      <w:rPr>
        <w:rFonts w:ascii="Calibri" w:hAnsi="Calibri" w:hint="default"/>
      </w:rPr>
    </w:lvl>
    <w:lvl w:ilvl="5" w:tplc="15AA7E6C" w:tentative="1">
      <w:start w:val="1"/>
      <w:numFmt w:val="bullet"/>
      <w:lvlText w:val="◦"/>
      <w:lvlJc w:val="left"/>
      <w:pPr>
        <w:tabs>
          <w:tab w:val="num" w:pos="4320"/>
        </w:tabs>
        <w:ind w:left="4320" w:hanging="360"/>
      </w:pPr>
      <w:rPr>
        <w:rFonts w:ascii="Calibri" w:hAnsi="Calibri" w:hint="default"/>
      </w:rPr>
    </w:lvl>
    <w:lvl w:ilvl="6" w:tplc="5DE4613A" w:tentative="1">
      <w:start w:val="1"/>
      <w:numFmt w:val="bullet"/>
      <w:lvlText w:val="◦"/>
      <w:lvlJc w:val="left"/>
      <w:pPr>
        <w:tabs>
          <w:tab w:val="num" w:pos="5040"/>
        </w:tabs>
        <w:ind w:left="5040" w:hanging="360"/>
      </w:pPr>
      <w:rPr>
        <w:rFonts w:ascii="Calibri" w:hAnsi="Calibri" w:hint="default"/>
      </w:rPr>
    </w:lvl>
    <w:lvl w:ilvl="7" w:tplc="8A10F598" w:tentative="1">
      <w:start w:val="1"/>
      <w:numFmt w:val="bullet"/>
      <w:lvlText w:val="◦"/>
      <w:lvlJc w:val="left"/>
      <w:pPr>
        <w:tabs>
          <w:tab w:val="num" w:pos="5760"/>
        </w:tabs>
        <w:ind w:left="5760" w:hanging="360"/>
      </w:pPr>
      <w:rPr>
        <w:rFonts w:ascii="Calibri" w:hAnsi="Calibri" w:hint="default"/>
      </w:rPr>
    </w:lvl>
    <w:lvl w:ilvl="8" w:tplc="759072AC"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7133104B"/>
    <w:multiLevelType w:val="hybridMultilevel"/>
    <w:tmpl w:val="6600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090928">
    <w:abstractNumId w:val="4"/>
  </w:num>
  <w:num w:numId="2" w16cid:durableId="551229265">
    <w:abstractNumId w:val="3"/>
  </w:num>
  <w:num w:numId="3" w16cid:durableId="215775135">
    <w:abstractNumId w:val="6"/>
  </w:num>
  <w:num w:numId="4" w16cid:durableId="718673518">
    <w:abstractNumId w:val="1"/>
  </w:num>
  <w:num w:numId="5" w16cid:durableId="158616483">
    <w:abstractNumId w:val="0"/>
  </w:num>
  <w:num w:numId="6" w16cid:durableId="581914345">
    <w:abstractNumId w:val="2"/>
  </w:num>
  <w:num w:numId="7" w16cid:durableId="4403015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8C"/>
    <w:rsid w:val="00000C8F"/>
    <w:rsid w:val="00004248"/>
    <w:rsid w:val="0002184E"/>
    <w:rsid w:val="000379FF"/>
    <w:rsid w:val="0006374A"/>
    <w:rsid w:val="000701B1"/>
    <w:rsid w:val="0007613B"/>
    <w:rsid w:val="00086B50"/>
    <w:rsid w:val="00097849"/>
    <w:rsid w:val="000A5755"/>
    <w:rsid w:val="000B1B78"/>
    <w:rsid w:val="000B7E8D"/>
    <w:rsid w:val="000E10FE"/>
    <w:rsid w:val="00101BAC"/>
    <w:rsid w:val="0011279B"/>
    <w:rsid w:val="00117B5B"/>
    <w:rsid w:val="001221AC"/>
    <w:rsid w:val="00170D13"/>
    <w:rsid w:val="00175398"/>
    <w:rsid w:val="00192006"/>
    <w:rsid w:val="00194578"/>
    <w:rsid w:val="001B2B1C"/>
    <w:rsid w:val="002242E9"/>
    <w:rsid w:val="0022710B"/>
    <w:rsid w:val="002529EB"/>
    <w:rsid w:val="00263A94"/>
    <w:rsid w:val="00274D8F"/>
    <w:rsid w:val="0028073D"/>
    <w:rsid w:val="002969C1"/>
    <w:rsid w:val="002B06C2"/>
    <w:rsid w:val="002C17FD"/>
    <w:rsid w:val="002C2E27"/>
    <w:rsid w:val="002D725B"/>
    <w:rsid w:val="002F6AAA"/>
    <w:rsid w:val="0032161F"/>
    <w:rsid w:val="0034261F"/>
    <w:rsid w:val="003A4C92"/>
    <w:rsid w:val="00443228"/>
    <w:rsid w:val="0045386B"/>
    <w:rsid w:val="00485E6D"/>
    <w:rsid w:val="00492445"/>
    <w:rsid w:val="00496A51"/>
    <w:rsid w:val="00497FDA"/>
    <w:rsid w:val="004A0C0F"/>
    <w:rsid w:val="004B07FC"/>
    <w:rsid w:val="004D466E"/>
    <w:rsid w:val="004F2BD8"/>
    <w:rsid w:val="0050312F"/>
    <w:rsid w:val="00511C88"/>
    <w:rsid w:val="00524860"/>
    <w:rsid w:val="00534DE8"/>
    <w:rsid w:val="005412C4"/>
    <w:rsid w:val="00567B18"/>
    <w:rsid w:val="00580DC7"/>
    <w:rsid w:val="005D13EB"/>
    <w:rsid w:val="005F3F53"/>
    <w:rsid w:val="00610013"/>
    <w:rsid w:val="00683ADE"/>
    <w:rsid w:val="00693344"/>
    <w:rsid w:val="006B562F"/>
    <w:rsid w:val="006D37B9"/>
    <w:rsid w:val="006F7692"/>
    <w:rsid w:val="007165CB"/>
    <w:rsid w:val="0074010E"/>
    <w:rsid w:val="00764A82"/>
    <w:rsid w:val="00766F2B"/>
    <w:rsid w:val="0076745E"/>
    <w:rsid w:val="00802E72"/>
    <w:rsid w:val="00813A77"/>
    <w:rsid w:val="008205DD"/>
    <w:rsid w:val="00851E08"/>
    <w:rsid w:val="00875EBF"/>
    <w:rsid w:val="00894E4A"/>
    <w:rsid w:val="00897DC4"/>
    <w:rsid w:val="008A342E"/>
    <w:rsid w:val="008A518C"/>
    <w:rsid w:val="008B0DC9"/>
    <w:rsid w:val="008B2263"/>
    <w:rsid w:val="008B477F"/>
    <w:rsid w:val="008D2A03"/>
    <w:rsid w:val="008E47E3"/>
    <w:rsid w:val="008E544F"/>
    <w:rsid w:val="008E7C0B"/>
    <w:rsid w:val="008F1204"/>
    <w:rsid w:val="00940152"/>
    <w:rsid w:val="00954D91"/>
    <w:rsid w:val="009700C9"/>
    <w:rsid w:val="009A607B"/>
    <w:rsid w:val="009E03FF"/>
    <w:rsid w:val="00A10474"/>
    <w:rsid w:val="00A3631F"/>
    <w:rsid w:val="00A40952"/>
    <w:rsid w:val="00A50023"/>
    <w:rsid w:val="00A573FA"/>
    <w:rsid w:val="00A57798"/>
    <w:rsid w:val="00A67D78"/>
    <w:rsid w:val="00A77661"/>
    <w:rsid w:val="00A81A52"/>
    <w:rsid w:val="00A93394"/>
    <w:rsid w:val="00A94A17"/>
    <w:rsid w:val="00A96BC4"/>
    <w:rsid w:val="00AD3016"/>
    <w:rsid w:val="00B12E5A"/>
    <w:rsid w:val="00B35697"/>
    <w:rsid w:val="00B6277D"/>
    <w:rsid w:val="00B8176B"/>
    <w:rsid w:val="00B84661"/>
    <w:rsid w:val="00BA754C"/>
    <w:rsid w:val="00BB2CFA"/>
    <w:rsid w:val="00BC1346"/>
    <w:rsid w:val="00BC5A7C"/>
    <w:rsid w:val="00BD2343"/>
    <w:rsid w:val="00BF4FE3"/>
    <w:rsid w:val="00C21E79"/>
    <w:rsid w:val="00C67CCA"/>
    <w:rsid w:val="00C76065"/>
    <w:rsid w:val="00C87F7A"/>
    <w:rsid w:val="00C911B2"/>
    <w:rsid w:val="00CD0E53"/>
    <w:rsid w:val="00D05854"/>
    <w:rsid w:val="00D10B9B"/>
    <w:rsid w:val="00D62F92"/>
    <w:rsid w:val="00D75983"/>
    <w:rsid w:val="00D94590"/>
    <w:rsid w:val="00DE453A"/>
    <w:rsid w:val="00DE77EC"/>
    <w:rsid w:val="00E005F5"/>
    <w:rsid w:val="00E03652"/>
    <w:rsid w:val="00E43E02"/>
    <w:rsid w:val="00E4472B"/>
    <w:rsid w:val="00E52D34"/>
    <w:rsid w:val="00E5778F"/>
    <w:rsid w:val="00EB2420"/>
    <w:rsid w:val="00EC044E"/>
    <w:rsid w:val="00ED1CB2"/>
    <w:rsid w:val="00ED7684"/>
    <w:rsid w:val="00F01F0C"/>
    <w:rsid w:val="00F02D61"/>
    <w:rsid w:val="00F8673C"/>
    <w:rsid w:val="00F8691A"/>
    <w:rsid w:val="00FA43A0"/>
    <w:rsid w:val="00FB205B"/>
    <w:rsid w:val="00FB6948"/>
    <w:rsid w:val="00FC5B99"/>
    <w:rsid w:val="00FE3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84949"/>
  <w15:chartTrackingRefBased/>
  <w15:docId w15:val="{08398D4B-0F8F-4216-A46B-CAC17638A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E02"/>
    <w:pPr>
      <w:ind w:left="720"/>
      <w:contextualSpacing/>
    </w:pPr>
  </w:style>
  <w:style w:type="paragraph" w:styleId="NormalWeb">
    <w:name w:val="Normal (Web)"/>
    <w:basedOn w:val="Normal"/>
    <w:uiPriority w:val="99"/>
    <w:unhideWhenUsed/>
    <w:rsid w:val="00766F2B"/>
    <w:pPr>
      <w:spacing w:after="0" w:line="240" w:lineRule="auto"/>
    </w:pPr>
    <w:rPr>
      <w:rFonts w:ascii="Calibri" w:eastAsiaTheme="minorEastAsia" w:hAnsi="Calibri" w:cs="Calibri"/>
    </w:rPr>
  </w:style>
  <w:style w:type="paragraph" w:styleId="BalloonText">
    <w:name w:val="Balloon Text"/>
    <w:basedOn w:val="Normal"/>
    <w:link w:val="BalloonTextChar"/>
    <w:uiPriority w:val="99"/>
    <w:semiHidden/>
    <w:unhideWhenUsed/>
    <w:rsid w:val="006100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013"/>
    <w:rPr>
      <w:rFonts w:ascii="Segoe UI" w:hAnsi="Segoe UI" w:cs="Segoe UI"/>
      <w:sz w:val="18"/>
      <w:szCs w:val="18"/>
    </w:rPr>
  </w:style>
  <w:style w:type="table" w:styleId="TableGrid">
    <w:name w:val="Table Grid"/>
    <w:basedOn w:val="TableNormal"/>
    <w:uiPriority w:val="39"/>
    <w:rsid w:val="00175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7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3FA"/>
  </w:style>
  <w:style w:type="paragraph" w:styleId="Footer">
    <w:name w:val="footer"/>
    <w:basedOn w:val="Normal"/>
    <w:link w:val="FooterChar"/>
    <w:uiPriority w:val="99"/>
    <w:unhideWhenUsed/>
    <w:rsid w:val="00A57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36885">
      <w:bodyDiv w:val="1"/>
      <w:marLeft w:val="0"/>
      <w:marRight w:val="0"/>
      <w:marTop w:val="0"/>
      <w:marBottom w:val="0"/>
      <w:divBdr>
        <w:top w:val="none" w:sz="0" w:space="0" w:color="auto"/>
        <w:left w:val="none" w:sz="0" w:space="0" w:color="auto"/>
        <w:bottom w:val="none" w:sz="0" w:space="0" w:color="auto"/>
        <w:right w:val="none" w:sz="0" w:space="0" w:color="auto"/>
      </w:divBdr>
    </w:div>
    <w:div w:id="361833214">
      <w:bodyDiv w:val="1"/>
      <w:marLeft w:val="0"/>
      <w:marRight w:val="0"/>
      <w:marTop w:val="0"/>
      <w:marBottom w:val="0"/>
      <w:divBdr>
        <w:top w:val="none" w:sz="0" w:space="0" w:color="auto"/>
        <w:left w:val="none" w:sz="0" w:space="0" w:color="auto"/>
        <w:bottom w:val="none" w:sz="0" w:space="0" w:color="auto"/>
        <w:right w:val="none" w:sz="0" w:space="0" w:color="auto"/>
      </w:divBdr>
    </w:div>
    <w:div w:id="386494452">
      <w:bodyDiv w:val="1"/>
      <w:marLeft w:val="0"/>
      <w:marRight w:val="0"/>
      <w:marTop w:val="0"/>
      <w:marBottom w:val="0"/>
      <w:divBdr>
        <w:top w:val="none" w:sz="0" w:space="0" w:color="auto"/>
        <w:left w:val="none" w:sz="0" w:space="0" w:color="auto"/>
        <w:bottom w:val="none" w:sz="0" w:space="0" w:color="auto"/>
        <w:right w:val="none" w:sz="0" w:space="0" w:color="auto"/>
      </w:divBdr>
      <w:divsChild>
        <w:div w:id="1117986310">
          <w:marLeft w:val="144"/>
          <w:marRight w:val="0"/>
          <w:marTop w:val="240"/>
          <w:marBottom w:val="40"/>
          <w:divBdr>
            <w:top w:val="none" w:sz="0" w:space="0" w:color="auto"/>
            <w:left w:val="none" w:sz="0" w:space="0" w:color="auto"/>
            <w:bottom w:val="none" w:sz="0" w:space="0" w:color="auto"/>
            <w:right w:val="none" w:sz="0" w:space="0" w:color="auto"/>
          </w:divBdr>
        </w:div>
        <w:div w:id="1381829997">
          <w:marLeft w:val="144"/>
          <w:marRight w:val="0"/>
          <w:marTop w:val="240"/>
          <w:marBottom w:val="40"/>
          <w:divBdr>
            <w:top w:val="none" w:sz="0" w:space="0" w:color="auto"/>
            <w:left w:val="none" w:sz="0" w:space="0" w:color="auto"/>
            <w:bottom w:val="none" w:sz="0" w:space="0" w:color="auto"/>
            <w:right w:val="none" w:sz="0" w:space="0" w:color="auto"/>
          </w:divBdr>
        </w:div>
        <w:div w:id="1694114124">
          <w:marLeft w:val="144"/>
          <w:marRight w:val="0"/>
          <w:marTop w:val="240"/>
          <w:marBottom w:val="40"/>
          <w:divBdr>
            <w:top w:val="none" w:sz="0" w:space="0" w:color="auto"/>
            <w:left w:val="none" w:sz="0" w:space="0" w:color="auto"/>
            <w:bottom w:val="none" w:sz="0" w:space="0" w:color="auto"/>
            <w:right w:val="none" w:sz="0" w:space="0" w:color="auto"/>
          </w:divBdr>
        </w:div>
        <w:div w:id="350379737">
          <w:marLeft w:val="144"/>
          <w:marRight w:val="0"/>
          <w:marTop w:val="240"/>
          <w:marBottom w:val="40"/>
          <w:divBdr>
            <w:top w:val="none" w:sz="0" w:space="0" w:color="auto"/>
            <w:left w:val="none" w:sz="0" w:space="0" w:color="auto"/>
            <w:bottom w:val="none" w:sz="0" w:space="0" w:color="auto"/>
            <w:right w:val="none" w:sz="0" w:space="0" w:color="auto"/>
          </w:divBdr>
        </w:div>
        <w:div w:id="1008483891">
          <w:marLeft w:val="144"/>
          <w:marRight w:val="0"/>
          <w:marTop w:val="240"/>
          <w:marBottom w:val="40"/>
          <w:divBdr>
            <w:top w:val="none" w:sz="0" w:space="0" w:color="auto"/>
            <w:left w:val="none" w:sz="0" w:space="0" w:color="auto"/>
            <w:bottom w:val="none" w:sz="0" w:space="0" w:color="auto"/>
            <w:right w:val="none" w:sz="0" w:space="0" w:color="auto"/>
          </w:divBdr>
        </w:div>
        <w:div w:id="1652246483">
          <w:marLeft w:val="605"/>
          <w:marRight w:val="0"/>
          <w:marTop w:val="40"/>
          <w:marBottom w:val="80"/>
          <w:divBdr>
            <w:top w:val="none" w:sz="0" w:space="0" w:color="auto"/>
            <w:left w:val="none" w:sz="0" w:space="0" w:color="auto"/>
            <w:bottom w:val="none" w:sz="0" w:space="0" w:color="auto"/>
            <w:right w:val="none" w:sz="0" w:space="0" w:color="auto"/>
          </w:divBdr>
        </w:div>
        <w:div w:id="532496439">
          <w:marLeft w:val="605"/>
          <w:marRight w:val="0"/>
          <w:marTop w:val="40"/>
          <w:marBottom w:val="80"/>
          <w:divBdr>
            <w:top w:val="none" w:sz="0" w:space="0" w:color="auto"/>
            <w:left w:val="none" w:sz="0" w:space="0" w:color="auto"/>
            <w:bottom w:val="none" w:sz="0" w:space="0" w:color="auto"/>
            <w:right w:val="none" w:sz="0" w:space="0" w:color="auto"/>
          </w:divBdr>
        </w:div>
        <w:div w:id="1268973945">
          <w:marLeft w:val="605"/>
          <w:marRight w:val="0"/>
          <w:marTop w:val="40"/>
          <w:marBottom w:val="80"/>
          <w:divBdr>
            <w:top w:val="none" w:sz="0" w:space="0" w:color="auto"/>
            <w:left w:val="none" w:sz="0" w:space="0" w:color="auto"/>
            <w:bottom w:val="none" w:sz="0" w:space="0" w:color="auto"/>
            <w:right w:val="none" w:sz="0" w:space="0" w:color="auto"/>
          </w:divBdr>
        </w:div>
        <w:div w:id="814295541">
          <w:marLeft w:val="605"/>
          <w:marRight w:val="0"/>
          <w:marTop w:val="40"/>
          <w:marBottom w:val="80"/>
          <w:divBdr>
            <w:top w:val="none" w:sz="0" w:space="0" w:color="auto"/>
            <w:left w:val="none" w:sz="0" w:space="0" w:color="auto"/>
            <w:bottom w:val="none" w:sz="0" w:space="0" w:color="auto"/>
            <w:right w:val="none" w:sz="0" w:space="0" w:color="auto"/>
          </w:divBdr>
        </w:div>
        <w:div w:id="1772159409">
          <w:marLeft w:val="605"/>
          <w:marRight w:val="0"/>
          <w:marTop w:val="40"/>
          <w:marBottom w:val="80"/>
          <w:divBdr>
            <w:top w:val="none" w:sz="0" w:space="0" w:color="auto"/>
            <w:left w:val="none" w:sz="0" w:space="0" w:color="auto"/>
            <w:bottom w:val="none" w:sz="0" w:space="0" w:color="auto"/>
            <w:right w:val="none" w:sz="0" w:space="0" w:color="auto"/>
          </w:divBdr>
        </w:div>
        <w:div w:id="1432508179">
          <w:marLeft w:val="605"/>
          <w:marRight w:val="0"/>
          <w:marTop w:val="40"/>
          <w:marBottom w:val="80"/>
          <w:divBdr>
            <w:top w:val="none" w:sz="0" w:space="0" w:color="auto"/>
            <w:left w:val="none" w:sz="0" w:space="0" w:color="auto"/>
            <w:bottom w:val="none" w:sz="0" w:space="0" w:color="auto"/>
            <w:right w:val="none" w:sz="0" w:space="0" w:color="auto"/>
          </w:divBdr>
        </w:div>
      </w:divsChild>
    </w:div>
    <w:div w:id="517934026">
      <w:bodyDiv w:val="1"/>
      <w:marLeft w:val="0"/>
      <w:marRight w:val="0"/>
      <w:marTop w:val="0"/>
      <w:marBottom w:val="0"/>
      <w:divBdr>
        <w:top w:val="none" w:sz="0" w:space="0" w:color="auto"/>
        <w:left w:val="none" w:sz="0" w:space="0" w:color="auto"/>
        <w:bottom w:val="none" w:sz="0" w:space="0" w:color="auto"/>
        <w:right w:val="none" w:sz="0" w:space="0" w:color="auto"/>
      </w:divBdr>
    </w:div>
    <w:div w:id="589628910">
      <w:bodyDiv w:val="1"/>
      <w:marLeft w:val="0"/>
      <w:marRight w:val="0"/>
      <w:marTop w:val="0"/>
      <w:marBottom w:val="0"/>
      <w:divBdr>
        <w:top w:val="none" w:sz="0" w:space="0" w:color="auto"/>
        <w:left w:val="none" w:sz="0" w:space="0" w:color="auto"/>
        <w:bottom w:val="none" w:sz="0" w:space="0" w:color="auto"/>
        <w:right w:val="none" w:sz="0" w:space="0" w:color="auto"/>
      </w:divBdr>
      <w:divsChild>
        <w:div w:id="134110648">
          <w:marLeft w:val="605"/>
          <w:marRight w:val="0"/>
          <w:marTop w:val="40"/>
          <w:marBottom w:val="80"/>
          <w:divBdr>
            <w:top w:val="none" w:sz="0" w:space="0" w:color="auto"/>
            <w:left w:val="none" w:sz="0" w:space="0" w:color="auto"/>
            <w:bottom w:val="none" w:sz="0" w:space="0" w:color="auto"/>
            <w:right w:val="none" w:sz="0" w:space="0" w:color="auto"/>
          </w:divBdr>
        </w:div>
        <w:div w:id="1015038397">
          <w:marLeft w:val="605"/>
          <w:marRight w:val="0"/>
          <w:marTop w:val="40"/>
          <w:marBottom w:val="80"/>
          <w:divBdr>
            <w:top w:val="none" w:sz="0" w:space="0" w:color="auto"/>
            <w:left w:val="none" w:sz="0" w:space="0" w:color="auto"/>
            <w:bottom w:val="none" w:sz="0" w:space="0" w:color="auto"/>
            <w:right w:val="none" w:sz="0" w:space="0" w:color="auto"/>
          </w:divBdr>
        </w:div>
        <w:div w:id="1062559348">
          <w:marLeft w:val="605"/>
          <w:marRight w:val="0"/>
          <w:marTop w:val="40"/>
          <w:marBottom w:val="80"/>
          <w:divBdr>
            <w:top w:val="none" w:sz="0" w:space="0" w:color="auto"/>
            <w:left w:val="none" w:sz="0" w:space="0" w:color="auto"/>
            <w:bottom w:val="none" w:sz="0" w:space="0" w:color="auto"/>
            <w:right w:val="none" w:sz="0" w:space="0" w:color="auto"/>
          </w:divBdr>
        </w:div>
        <w:div w:id="873466391">
          <w:marLeft w:val="605"/>
          <w:marRight w:val="0"/>
          <w:marTop w:val="40"/>
          <w:marBottom w:val="80"/>
          <w:divBdr>
            <w:top w:val="none" w:sz="0" w:space="0" w:color="auto"/>
            <w:left w:val="none" w:sz="0" w:space="0" w:color="auto"/>
            <w:bottom w:val="none" w:sz="0" w:space="0" w:color="auto"/>
            <w:right w:val="none" w:sz="0" w:space="0" w:color="auto"/>
          </w:divBdr>
        </w:div>
      </w:divsChild>
    </w:div>
    <w:div w:id="1320622169">
      <w:bodyDiv w:val="1"/>
      <w:marLeft w:val="0"/>
      <w:marRight w:val="0"/>
      <w:marTop w:val="0"/>
      <w:marBottom w:val="0"/>
      <w:divBdr>
        <w:top w:val="none" w:sz="0" w:space="0" w:color="auto"/>
        <w:left w:val="none" w:sz="0" w:space="0" w:color="auto"/>
        <w:bottom w:val="none" w:sz="0" w:space="0" w:color="auto"/>
        <w:right w:val="none" w:sz="0" w:space="0" w:color="auto"/>
      </w:divBdr>
    </w:div>
    <w:div w:id="1805804710">
      <w:bodyDiv w:val="1"/>
      <w:marLeft w:val="0"/>
      <w:marRight w:val="0"/>
      <w:marTop w:val="0"/>
      <w:marBottom w:val="0"/>
      <w:divBdr>
        <w:top w:val="none" w:sz="0" w:space="0" w:color="auto"/>
        <w:left w:val="none" w:sz="0" w:space="0" w:color="auto"/>
        <w:bottom w:val="none" w:sz="0" w:space="0" w:color="auto"/>
        <w:right w:val="none" w:sz="0" w:space="0" w:color="auto"/>
      </w:divBdr>
      <w:divsChild>
        <w:div w:id="1830753923">
          <w:marLeft w:val="605"/>
          <w:marRight w:val="0"/>
          <w:marTop w:val="40"/>
          <w:marBottom w:val="80"/>
          <w:divBdr>
            <w:top w:val="none" w:sz="0" w:space="0" w:color="auto"/>
            <w:left w:val="none" w:sz="0" w:space="0" w:color="auto"/>
            <w:bottom w:val="none" w:sz="0" w:space="0" w:color="auto"/>
            <w:right w:val="none" w:sz="0" w:space="0" w:color="auto"/>
          </w:divBdr>
        </w:div>
        <w:div w:id="1865632380">
          <w:marLeft w:val="605"/>
          <w:marRight w:val="0"/>
          <w:marTop w:val="40"/>
          <w:marBottom w:val="80"/>
          <w:divBdr>
            <w:top w:val="none" w:sz="0" w:space="0" w:color="auto"/>
            <w:left w:val="none" w:sz="0" w:space="0" w:color="auto"/>
            <w:bottom w:val="none" w:sz="0" w:space="0" w:color="auto"/>
            <w:right w:val="none" w:sz="0" w:space="0" w:color="auto"/>
          </w:divBdr>
        </w:div>
        <w:div w:id="1443455310">
          <w:marLeft w:val="605"/>
          <w:marRight w:val="0"/>
          <w:marTop w:val="40"/>
          <w:marBottom w:val="80"/>
          <w:divBdr>
            <w:top w:val="none" w:sz="0" w:space="0" w:color="auto"/>
            <w:left w:val="none" w:sz="0" w:space="0" w:color="auto"/>
            <w:bottom w:val="none" w:sz="0" w:space="0" w:color="auto"/>
            <w:right w:val="none" w:sz="0" w:space="0" w:color="auto"/>
          </w:divBdr>
        </w:div>
        <w:div w:id="1884056216">
          <w:marLeft w:val="605"/>
          <w:marRight w:val="0"/>
          <w:marTop w:val="40"/>
          <w:marBottom w:val="80"/>
          <w:divBdr>
            <w:top w:val="none" w:sz="0" w:space="0" w:color="auto"/>
            <w:left w:val="none" w:sz="0" w:space="0" w:color="auto"/>
            <w:bottom w:val="none" w:sz="0" w:space="0" w:color="auto"/>
            <w:right w:val="none" w:sz="0" w:space="0" w:color="auto"/>
          </w:divBdr>
        </w:div>
        <w:div w:id="568882156">
          <w:marLeft w:val="605"/>
          <w:marRight w:val="0"/>
          <w:marTop w:val="40"/>
          <w:marBottom w:val="80"/>
          <w:divBdr>
            <w:top w:val="none" w:sz="0" w:space="0" w:color="auto"/>
            <w:left w:val="none" w:sz="0" w:space="0" w:color="auto"/>
            <w:bottom w:val="none" w:sz="0" w:space="0" w:color="auto"/>
            <w:right w:val="none" w:sz="0" w:space="0" w:color="auto"/>
          </w:divBdr>
        </w:div>
        <w:div w:id="1322612807">
          <w:marLeft w:val="605"/>
          <w:marRight w:val="0"/>
          <w:marTop w:val="40"/>
          <w:marBottom w:val="80"/>
          <w:divBdr>
            <w:top w:val="none" w:sz="0" w:space="0" w:color="auto"/>
            <w:left w:val="none" w:sz="0" w:space="0" w:color="auto"/>
            <w:bottom w:val="none" w:sz="0" w:space="0" w:color="auto"/>
            <w:right w:val="none" w:sz="0" w:space="0" w:color="auto"/>
          </w:divBdr>
        </w:div>
      </w:divsChild>
    </w:div>
    <w:div w:id="210934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4f3a41-ee0e-46ef-abd9-0638ef1f3a65" xsi:nil="true"/>
    <lcf76f155ced4ddcb4097134ff3c332f xmlns="681258a2-56b5-487c-bbf7-9a84529099a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1D94AEADF20F488093D748A03F9CF6" ma:contentTypeVersion="16" ma:contentTypeDescription="Create a new document." ma:contentTypeScope="" ma:versionID="bdaf4c3f18f34970deb038458fba921f">
  <xsd:schema xmlns:xsd="http://www.w3.org/2001/XMLSchema" xmlns:xs="http://www.w3.org/2001/XMLSchema" xmlns:p="http://schemas.microsoft.com/office/2006/metadata/properties" xmlns:ns2="681258a2-56b5-487c-bbf7-9a84529099a3" xmlns:ns3="e54f3a41-ee0e-46ef-abd9-0638ef1f3a65" targetNamespace="http://schemas.microsoft.com/office/2006/metadata/properties" ma:root="true" ma:fieldsID="8a0262a447f3ffe4e9e3c71f357565bb" ns2:_="" ns3:_="">
    <xsd:import namespace="681258a2-56b5-487c-bbf7-9a84529099a3"/>
    <xsd:import namespace="e54f3a41-ee0e-46ef-abd9-0638ef1f3a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58a2-56b5-487c-bbf7-9a84529099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b351483-1b80-4239-b155-b0974dfd055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f3a41-ee0e-46ef-abd9-0638ef1f3a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80452d7-2378-46b1-b309-d922bac9e557}" ma:internalName="TaxCatchAll" ma:showField="CatchAllData" ma:web="e54f3a41-ee0e-46ef-abd9-0638ef1f3a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2FC66-E6EC-4C94-8D21-D008EDADBCEA}">
  <ds:schemaRefs>
    <ds:schemaRef ds:uri="http://schemas.microsoft.com/sharepoint/v3/contenttype/forms"/>
  </ds:schemaRefs>
</ds:datastoreItem>
</file>

<file path=customXml/itemProps2.xml><?xml version="1.0" encoding="utf-8"?>
<ds:datastoreItem xmlns:ds="http://schemas.openxmlformats.org/officeDocument/2006/customXml" ds:itemID="{3C1ACADE-BEDD-4929-ABAE-2352922446E3}">
  <ds:schemaRefs>
    <ds:schemaRef ds:uri="http://schemas.microsoft.com/office/2006/metadata/properties"/>
    <ds:schemaRef ds:uri="http://schemas.microsoft.com/office/infopath/2007/PartnerControls"/>
    <ds:schemaRef ds:uri="e54f3a41-ee0e-46ef-abd9-0638ef1f3a65"/>
    <ds:schemaRef ds:uri="681258a2-56b5-487c-bbf7-9a84529099a3"/>
  </ds:schemaRefs>
</ds:datastoreItem>
</file>

<file path=customXml/itemProps3.xml><?xml version="1.0" encoding="utf-8"?>
<ds:datastoreItem xmlns:ds="http://schemas.openxmlformats.org/officeDocument/2006/customXml" ds:itemID="{616581A3-572C-43F0-B193-02DCFF79174F}">
  <ds:schemaRefs>
    <ds:schemaRef ds:uri="http://schemas.openxmlformats.org/officeDocument/2006/bibliography"/>
  </ds:schemaRefs>
</ds:datastoreItem>
</file>

<file path=customXml/itemProps4.xml><?xml version="1.0" encoding="utf-8"?>
<ds:datastoreItem xmlns:ds="http://schemas.openxmlformats.org/officeDocument/2006/customXml" ds:itemID="{5676C95C-BEED-41DF-AACD-F7A92DC9A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58a2-56b5-487c-bbf7-9a84529099a3"/>
    <ds:schemaRef ds:uri="e54f3a41-ee0e-46ef-abd9-0638ef1f3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456</Words>
  <Characters>2709</Characters>
  <Application>Microsoft Office Word</Application>
  <DocSecurity>0</DocSecurity>
  <Lines>117</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andersonpayadvisors@outlook.com</dc:creator>
  <cp:keywords/>
  <dc:description/>
  <cp:lastModifiedBy>Jeremy Anderson</cp:lastModifiedBy>
  <cp:revision>4</cp:revision>
  <cp:lastPrinted>2024-07-01T13:51:00Z</cp:lastPrinted>
  <dcterms:created xsi:type="dcterms:W3CDTF">2026-04-08T01:40:00Z</dcterms:created>
  <dcterms:modified xsi:type="dcterms:W3CDTF">2026-04-08T01:47:00Z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0x010100601D94AEADF20F488093D748A03F9CF6</vt:lpwstr>
  </property>
  <property fmtid="{D5CDD505-2E9C-101B-9397-08002B2CF9AE}" pid="3" name="MediaServiceImageTags">
    <vt:lpwstr/>
  </property>
</Properties>
</file>